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D5" w:rsidRDefault="00E716D5">
      <w:pPr>
        <w:tabs>
          <w:tab w:val="left" w:pos="5954"/>
        </w:tabs>
        <w:jc w:val="center"/>
        <w:rPr>
          <w:b/>
          <w:sz w:val="26"/>
          <w:szCs w:val="26"/>
        </w:rPr>
      </w:pPr>
    </w:p>
    <w:p w:rsidR="00E716D5" w:rsidRDefault="00947BF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E716D5" w:rsidRDefault="00947BF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БУРЛУКСКОГО СЕЛЬСКОГО ПОСЕЛЕНИЯ   </w:t>
      </w:r>
    </w:p>
    <w:p w:rsidR="00E716D5" w:rsidRDefault="00947BF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КОТОВСКОГО МУНИЦИПАЛЬНОГО РАЙОНА</w:t>
      </w:r>
    </w:p>
    <w:p w:rsidR="00E716D5" w:rsidRDefault="00947BF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ВОЛГОГРАДСКОЙ ОБЛАСТИ                     ________________________________________________________________</w:t>
      </w:r>
    </w:p>
    <w:p w:rsidR="00E716D5" w:rsidRDefault="00947BF5">
      <w:pPr>
        <w:ind w:firstLine="28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716D5" w:rsidRDefault="00E716D5">
      <w:pPr>
        <w:ind w:firstLine="284"/>
        <w:rPr>
          <w:sz w:val="28"/>
          <w:szCs w:val="28"/>
        </w:rPr>
      </w:pPr>
    </w:p>
    <w:p w:rsidR="00E716D5" w:rsidRDefault="00947BF5">
      <w:pPr>
        <w:pStyle w:val="1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«Об исполнении бюджета Бурлукского сельского поселения</w:t>
      </w:r>
    </w:p>
    <w:p w:rsidR="00E716D5" w:rsidRDefault="00947BF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Котовского муниципального района Волгоградской области</w:t>
      </w:r>
    </w:p>
    <w:p w:rsidR="00E716D5" w:rsidRDefault="00947BF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за  </w:t>
      </w:r>
      <w:r w:rsidR="00D34E30"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квартал 202</w:t>
      </w:r>
      <w:r w:rsidR="001C203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года</w:t>
      </w:r>
      <w:r>
        <w:rPr>
          <w:sz w:val="24"/>
          <w:szCs w:val="24"/>
        </w:rPr>
        <w:t>»</w:t>
      </w:r>
    </w:p>
    <w:p w:rsidR="00E716D5" w:rsidRDefault="00E716D5">
      <w:pPr>
        <w:rPr>
          <w:i/>
          <w:sz w:val="26"/>
          <w:szCs w:val="26"/>
        </w:rPr>
      </w:pPr>
    </w:p>
    <w:p w:rsidR="00E716D5" w:rsidRDefault="00947BF5">
      <w:pPr>
        <w:tabs>
          <w:tab w:val="left" w:pos="5954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от   </w:t>
      </w:r>
      <w:r w:rsidR="001C2037">
        <w:rPr>
          <w:sz w:val="26"/>
          <w:szCs w:val="26"/>
        </w:rPr>
        <w:t>22.04</w:t>
      </w:r>
      <w:r>
        <w:rPr>
          <w:sz w:val="26"/>
          <w:szCs w:val="26"/>
        </w:rPr>
        <w:t>.202</w:t>
      </w:r>
      <w:r w:rsidR="001C2037">
        <w:rPr>
          <w:sz w:val="26"/>
          <w:szCs w:val="26"/>
        </w:rPr>
        <w:t>1</w:t>
      </w:r>
      <w:r>
        <w:rPr>
          <w:sz w:val="26"/>
          <w:szCs w:val="26"/>
        </w:rPr>
        <w:t xml:space="preserve"> г.                                                                                   </w:t>
      </w:r>
      <w:r w:rsidR="007F2359">
        <w:rPr>
          <w:sz w:val="26"/>
          <w:szCs w:val="26"/>
        </w:rPr>
        <w:t xml:space="preserve">                          № </w:t>
      </w:r>
      <w:r w:rsidR="001C2037">
        <w:rPr>
          <w:sz w:val="26"/>
          <w:szCs w:val="26"/>
        </w:rPr>
        <w:t>27</w:t>
      </w:r>
      <w:r>
        <w:rPr>
          <w:sz w:val="26"/>
          <w:szCs w:val="26"/>
        </w:rPr>
        <w:t xml:space="preserve">                              </w:t>
      </w:r>
    </w:p>
    <w:p w:rsidR="00E716D5" w:rsidRDefault="00E716D5">
      <w:pPr>
        <w:tabs>
          <w:tab w:val="left" w:pos="5954"/>
        </w:tabs>
        <w:rPr>
          <w:b/>
          <w:bCs/>
          <w:sz w:val="26"/>
          <w:szCs w:val="26"/>
        </w:rPr>
      </w:pPr>
    </w:p>
    <w:p w:rsidR="00E716D5" w:rsidRDefault="0079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Рассмотрев отчё</w:t>
      </w:r>
      <w:r w:rsidR="00947BF5">
        <w:rPr>
          <w:rFonts w:ascii="Times New Roman" w:hAnsi="Times New Roman" w:cs="Times New Roman"/>
          <w:sz w:val="22"/>
          <w:szCs w:val="22"/>
        </w:rPr>
        <w:t>т об исполнении бюджета Бурлукского сельского поселения за</w:t>
      </w:r>
      <w:r w:rsidR="00040955">
        <w:rPr>
          <w:rFonts w:ascii="Times New Roman" w:hAnsi="Times New Roman" w:cs="Times New Roman"/>
          <w:sz w:val="22"/>
          <w:szCs w:val="22"/>
        </w:rPr>
        <w:t xml:space="preserve"> </w:t>
      </w:r>
      <w:r w:rsidR="00947BF5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947BF5">
        <w:rPr>
          <w:rFonts w:ascii="Times New Roman" w:hAnsi="Times New Roman" w:cs="Times New Roman"/>
          <w:bCs/>
          <w:sz w:val="22"/>
          <w:szCs w:val="22"/>
        </w:rPr>
        <w:t xml:space="preserve"> квартал </w:t>
      </w:r>
      <w:r w:rsidR="00947BF5">
        <w:rPr>
          <w:rFonts w:ascii="Times New Roman" w:hAnsi="Times New Roman" w:cs="Times New Roman"/>
          <w:sz w:val="22"/>
          <w:szCs w:val="22"/>
        </w:rPr>
        <w:t>202</w:t>
      </w:r>
      <w:r w:rsidR="001C2037">
        <w:rPr>
          <w:rFonts w:ascii="Times New Roman" w:hAnsi="Times New Roman" w:cs="Times New Roman"/>
          <w:sz w:val="22"/>
          <w:szCs w:val="22"/>
        </w:rPr>
        <w:t>1</w:t>
      </w:r>
      <w:r w:rsidR="00947BF5">
        <w:rPr>
          <w:rFonts w:ascii="Times New Roman" w:hAnsi="Times New Roman" w:cs="Times New Roman"/>
          <w:sz w:val="22"/>
          <w:szCs w:val="22"/>
        </w:rPr>
        <w:t xml:space="preserve">  года,  Администрация Бурлукского сельского поселения отмечает, что бюджет Бурлукского сельского поселения за </w:t>
      </w:r>
      <w:r w:rsidR="00947BF5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947BF5"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 w:rsidR="00947BF5">
        <w:rPr>
          <w:rFonts w:ascii="Times New Roman" w:hAnsi="Times New Roman" w:cs="Times New Roman"/>
          <w:sz w:val="22"/>
          <w:szCs w:val="22"/>
        </w:rPr>
        <w:t xml:space="preserve"> 202</w:t>
      </w:r>
      <w:r w:rsidR="001C2037">
        <w:rPr>
          <w:rFonts w:ascii="Times New Roman" w:hAnsi="Times New Roman" w:cs="Times New Roman"/>
          <w:sz w:val="22"/>
          <w:szCs w:val="22"/>
        </w:rPr>
        <w:t>1</w:t>
      </w:r>
      <w:r w:rsidR="00947BF5">
        <w:rPr>
          <w:rFonts w:ascii="Times New Roman" w:hAnsi="Times New Roman" w:cs="Times New Roman"/>
          <w:sz w:val="22"/>
          <w:szCs w:val="22"/>
        </w:rPr>
        <w:t xml:space="preserve"> года по доходам выполнен на </w:t>
      </w:r>
      <w:r w:rsidR="00D17299">
        <w:rPr>
          <w:rFonts w:ascii="Times New Roman" w:hAnsi="Times New Roman" w:cs="Times New Roman"/>
          <w:b/>
          <w:sz w:val="22"/>
          <w:szCs w:val="22"/>
        </w:rPr>
        <w:t>21,4</w:t>
      </w:r>
      <w:r w:rsidR="00947B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7BF5">
        <w:rPr>
          <w:rFonts w:ascii="Times New Roman" w:hAnsi="Times New Roman" w:cs="Times New Roman"/>
          <w:sz w:val="22"/>
          <w:szCs w:val="22"/>
        </w:rPr>
        <w:t xml:space="preserve">%  при уточненном годовом плане </w:t>
      </w:r>
      <w:r w:rsidR="001C2037">
        <w:rPr>
          <w:rFonts w:ascii="Times New Roman" w:hAnsi="Times New Roman" w:cs="Times New Roman"/>
          <w:b/>
          <w:sz w:val="22"/>
          <w:szCs w:val="22"/>
          <w:lang w:eastAsia="ru-RU"/>
        </w:rPr>
        <w:t>5 542 584,00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947BF5">
        <w:rPr>
          <w:rFonts w:ascii="Times New Roman" w:hAnsi="Times New Roman" w:cs="Times New Roman"/>
          <w:sz w:val="22"/>
          <w:szCs w:val="22"/>
        </w:rPr>
        <w:t xml:space="preserve">рублей получено </w:t>
      </w:r>
      <w:r w:rsidR="001C2037" w:rsidRPr="001C2037">
        <w:rPr>
          <w:rFonts w:ascii="Times New Roman" w:hAnsi="Times New Roman" w:cs="Times New Roman"/>
          <w:b/>
          <w:sz w:val="22"/>
          <w:szCs w:val="22"/>
        </w:rPr>
        <w:t>1 188 776,52</w:t>
      </w:r>
      <w:r w:rsidR="00947BF5">
        <w:rPr>
          <w:rFonts w:ascii="Times New Roman" w:hAnsi="Times New Roman" w:cs="Times New Roman"/>
          <w:sz w:val="22"/>
          <w:szCs w:val="22"/>
        </w:rPr>
        <w:t xml:space="preserve"> рублей, в том числе по собственным доходам - на </w:t>
      </w:r>
      <w:r w:rsidR="00D17299" w:rsidRPr="00D17299">
        <w:rPr>
          <w:rFonts w:ascii="Times New Roman" w:hAnsi="Times New Roman" w:cs="Times New Roman"/>
          <w:b/>
          <w:sz w:val="22"/>
          <w:szCs w:val="22"/>
        </w:rPr>
        <w:t>92,6</w:t>
      </w:r>
      <w:r w:rsidR="00633E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7BF5">
        <w:rPr>
          <w:rFonts w:ascii="Times New Roman" w:hAnsi="Times New Roman" w:cs="Times New Roman"/>
          <w:b/>
          <w:sz w:val="22"/>
          <w:szCs w:val="22"/>
        </w:rPr>
        <w:t xml:space="preserve">%. </w:t>
      </w:r>
      <w:r w:rsidR="00947BF5">
        <w:rPr>
          <w:rFonts w:ascii="Times New Roman" w:hAnsi="Times New Roman" w:cs="Times New Roman"/>
          <w:sz w:val="22"/>
          <w:szCs w:val="22"/>
        </w:rPr>
        <w:t>В бюджет Бурлукского сельского поселения за</w:t>
      </w:r>
      <w:proofErr w:type="gramEnd"/>
      <w:r w:rsidR="00947BF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47BF5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proofErr w:type="gramEnd"/>
      <w:r w:rsidR="00947BF5"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 w:rsidR="00947BF5">
        <w:rPr>
          <w:rFonts w:ascii="Times New Roman" w:hAnsi="Times New Roman" w:cs="Times New Roman"/>
          <w:sz w:val="22"/>
          <w:szCs w:val="22"/>
        </w:rPr>
        <w:t xml:space="preserve"> поступило собственных доходов в сумме </w:t>
      </w:r>
      <w:r w:rsidR="00D34E30" w:rsidRPr="002434DE">
        <w:rPr>
          <w:rFonts w:ascii="Times New Roman" w:hAnsi="Times New Roman" w:cs="Times New Roman"/>
          <w:b/>
          <w:sz w:val="22"/>
          <w:szCs w:val="22"/>
        </w:rPr>
        <w:t>1</w:t>
      </w:r>
      <w:r w:rsidR="00D17299">
        <w:rPr>
          <w:rFonts w:ascii="Times New Roman" w:hAnsi="Times New Roman" w:cs="Times New Roman"/>
          <w:b/>
          <w:sz w:val="22"/>
          <w:szCs w:val="22"/>
        </w:rPr>
        <w:t> </w:t>
      </w:r>
      <w:r w:rsidR="00D34E30" w:rsidRPr="002434DE">
        <w:rPr>
          <w:rFonts w:ascii="Times New Roman" w:hAnsi="Times New Roman" w:cs="Times New Roman"/>
          <w:b/>
          <w:sz w:val="22"/>
          <w:szCs w:val="22"/>
        </w:rPr>
        <w:t>049</w:t>
      </w:r>
      <w:r w:rsidR="00D172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4E30" w:rsidRPr="002434DE">
        <w:rPr>
          <w:rFonts w:ascii="Times New Roman" w:hAnsi="Times New Roman" w:cs="Times New Roman"/>
          <w:b/>
          <w:sz w:val="22"/>
          <w:szCs w:val="22"/>
        </w:rPr>
        <w:t>110</w:t>
      </w:r>
      <w:proofErr w:type="gramStart"/>
      <w:r w:rsidR="00D34E30" w:rsidRPr="002434DE">
        <w:rPr>
          <w:rFonts w:ascii="Times New Roman" w:hAnsi="Times New Roman" w:cs="Times New Roman"/>
          <w:b/>
          <w:sz w:val="22"/>
          <w:szCs w:val="22"/>
        </w:rPr>
        <w:t>,20</w:t>
      </w:r>
      <w:proofErr w:type="gramEnd"/>
      <w:r w:rsidR="00947BF5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  <w:r w:rsidR="00947BF5">
        <w:rPr>
          <w:rFonts w:ascii="Times New Roman" w:hAnsi="Times New Roman" w:cs="Times New Roman"/>
          <w:sz w:val="22"/>
          <w:szCs w:val="22"/>
        </w:rPr>
        <w:t xml:space="preserve">рублей при бюджетных назначениях </w:t>
      </w:r>
      <w:r w:rsidR="00D17299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971 889,45</w:t>
      </w:r>
      <w:r w:rsidR="00947BF5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  <w:r w:rsidR="00947BF5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расходам бюджет Бурлукского сельского поселения за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квартал 202</w:t>
      </w:r>
      <w:r w:rsidR="00D1729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года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выполнен на </w:t>
      </w:r>
      <w:r w:rsidR="00D17299" w:rsidRPr="00D17299">
        <w:rPr>
          <w:rFonts w:ascii="Times New Roman" w:hAnsi="Times New Roman" w:cs="Times New Roman"/>
          <w:b/>
          <w:sz w:val="22"/>
          <w:szCs w:val="22"/>
        </w:rPr>
        <w:t>13,2</w:t>
      </w:r>
      <w:r>
        <w:rPr>
          <w:rFonts w:ascii="Times New Roman" w:hAnsi="Times New Roman" w:cs="Times New Roman"/>
          <w:sz w:val="22"/>
          <w:szCs w:val="22"/>
        </w:rPr>
        <w:t xml:space="preserve"> % при  годовом плане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7299">
        <w:rPr>
          <w:rFonts w:ascii="Times New Roman" w:hAnsi="Times New Roman" w:cs="Times New Roman"/>
          <w:b/>
          <w:sz w:val="22"/>
          <w:szCs w:val="22"/>
        </w:rPr>
        <w:t>5 548 964,38</w:t>
      </w:r>
      <w:r w:rsidR="00633ED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633E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фактически</w:t>
      </w:r>
      <w:r w:rsidR="00633E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исполнено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7299">
        <w:rPr>
          <w:rFonts w:ascii="Times New Roman" w:hAnsi="Times New Roman" w:cs="Times New Roman"/>
          <w:b/>
          <w:sz w:val="22"/>
          <w:szCs w:val="22"/>
        </w:rPr>
        <w:t>732 551,14</w:t>
      </w:r>
      <w:r>
        <w:rPr>
          <w:rFonts w:ascii="Times New Roman" w:hAnsi="Times New Roman" w:cs="Times New Roman"/>
          <w:sz w:val="22"/>
          <w:szCs w:val="22"/>
        </w:rPr>
        <w:t xml:space="preserve">  рублей, 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633ED0"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4E3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633ED0">
        <w:rPr>
          <w:rFonts w:ascii="Times New Roman" w:hAnsi="Times New Roman" w:cs="Times New Roman"/>
          <w:bCs/>
          <w:sz w:val="22"/>
          <w:szCs w:val="22"/>
        </w:rPr>
        <w:t xml:space="preserve">  квартале </w:t>
      </w:r>
      <w:r>
        <w:rPr>
          <w:rFonts w:ascii="Times New Roman" w:hAnsi="Times New Roman" w:cs="Times New Roman"/>
          <w:sz w:val="22"/>
          <w:szCs w:val="22"/>
        </w:rPr>
        <w:t xml:space="preserve"> общегосударственные вопросы профинансированы – на </w:t>
      </w:r>
      <w:r w:rsidR="002E67DB" w:rsidRPr="00357C48">
        <w:rPr>
          <w:rFonts w:ascii="Times New Roman" w:hAnsi="Times New Roman" w:cs="Times New Roman"/>
          <w:b/>
          <w:sz w:val="22"/>
          <w:szCs w:val="22"/>
        </w:rPr>
        <w:t>15,7</w:t>
      </w:r>
      <w:r w:rsidR="009F119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%,</w:t>
      </w:r>
      <w:r>
        <w:rPr>
          <w:rFonts w:ascii="Times New Roman" w:hAnsi="Times New Roman" w:cs="Times New Roman"/>
          <w:sz w:val="22"/>
          <w:szCs w:val="22"/>
        </w:rPr>
        <w:t xml:space="preserve"> национальная оборона –  на </w:t>
      </w:r>
      <w:r w:rsidR="002E67DB">
        <w:rPr>
          <w:rFonts w:ascii="Times New Roman" w:hAnsi="Times New Roman" w:cs="Times New Roman"/>
          <w:b/>
          <w:sz w:val="22"/>
          <w:szCs w:val="22"/>
        </w:rPr>
        <w:t>11,6</w:t>
      </w:r>
      <w:r>
        <w:rPr>
          <w:rFonts w:ascii="Times New Roman" w:hAnsi="Times New Roman" w:cs="Times New Roman"/>
          <w:b/>
          <w:sz w:val="22"/>
          <w:szCs w:val="22"/>
        </w:rPr>
        <w:t xml:space="preserve"> %</w:t>
      </w:r>
      <w:r>
        <w:rPr>
          <w:rFonts w:ascii="Times New Roman" w:hAnsi="Times New Roman" w:cs="Times New Roman"/>
          <w:sz w:val="22"/>
          <w:szCs w:val="22"/>
        </w:rPr>
        <w:t xml:space="preserve">, национальная безопасность и правоохранительная деятельность – на </w:t>
      </w:r>
      <w:r w:rsidR="002434DE">
        <w:rPr>
          <w:rFonts w:ascii="Times New Roman" w:hAnsi="Times New Roman" w:cs="Times New Roman"/>
          <w:b/>
          <w:sz w:val="22"/>
          <w:szCs w:val="22"/>
        </w:rPr>
        <w:t>8</w:t>
      </w:r>
      <w:r w:rsidR="009F1196">
        <w:rPr>
          <w:rFonts w:ascii="Times New Roman" w:hAnsi="Times New Roman" w:cs="Times New Roman"/>
          <w:b/>
          <w:sz w:val="22"/>
          <w:szCs w:val="22"/>
        </w:rPr>
        <w:t>8</w:t>
      </w:r>
      <w:r w:rsidR="008F25D3">
        <w:rPr>
          <w:rFonts w:ascii="Times New Roman" w:hAnsi="Times New Roman" w:cs="Times New Roman"/>
          <w:b/>
          <w:sz w:val="22"/>
          <w:szCs w:val="22"/>
        </w:rPr>
        <w:t>,0</w:t>
      </w:r>
      <w:r>
        <w:rPr>
          <w:rFonts w:ascii="Times New Roman" w:hAnsi="Times New Roman" w:cs="Times New Roman"/>
          <w:b/>
          <w:sz w:val="22"/>
          <w:szCs w:val="22"/>
        </w:rPr>
        <w:t xml:space="preserve"> %,</w:t>
      </w:r>
      <w:r>
        <w:rPr>
          <w:rFonts w:ascii="Times New Roman" w:hAnsi="Times New Roman" w:cs="Times New Roman"/>
          <w:sz w:val="22"/>
          <w:szCs w:val="22"/>
        </w:rPr>
        <w:t xml:space="preserve"> национальная экономика </w:t>
      </w:r>
      <w:r w:rsidR="009F1196">
        <w:rPr>
          <w:rFonts w:ascii="Times New Roman" w:hAnsi="Times New Roman" w:cs="Times New Roman"/>
          <w:b/>
          <w:sz w:val="22"/>
          <w:szCs w:val="22"/>
        </w:rPr>
        <w:t xml:space="preserve">– на </w:t>
      </w:r>
      <w:r w:rsidR="002E67DB">
        <w:rPr>
          <w:rFonts w:ascii="Times New Roman" w:hAnsi="Times New Roman" w:cs="Times New Roman"/>
          <w:b/>
          <w:sz w:val="22"/>
          <w:szCs w:val="22"/>
        </w:rPr>
        <w:t>8,2</w:t>
      </w:r>
      <w:r>
        <w:rPr>
          <w:rFonts w:ascii="Times New Roman" w:hAnsi="Times New Roman" w:cs="Times New Roman"/>
          <w:b/>
          <w:sz w:val="22"/>
          <w:szCs w:val="22"/>
        </w:rPr>
        <w:t xml:space="preserve"> %,  </w:t>
      </w:r>
      <w:r>
        <w:rPr>
          <w:rFonts w:ascii="Times New Roman" w:hAnsi="Times New Roman" w:cs="Times New Roman"/>
          <w:sz w:val="22"/>
          <w:szCs w:val="22"/>
        </w:rPr>
        <w:t xml:space="preserve">культура и кинематография  - на </w:t>
      </w:r>
      <w:r w:rsidR="002E67DB" w:rsidRPr="00357C48">
        <w:rPr>
          <w:rFonts w:ascii="Times New Roman" w:hAnsi="Times New Roman" w:cs="Times New Roman"/>
          <w:b/>
          <w:sz w:val="22"/>
          <w:szCs w:val="22"/>
        </w:rPr>
        <w:t>15,3</w:t>
      </w:r>
      <w:r w:rsidR="009F119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%,</w:t>
      </w:r>
      <w:r>
        <w:rPr>
          <w:rFonts w:ascii="Times New Roman" w:hAnsi="Times New Roman" w:cs="Times New Roman"/>
          <w:sz w:val="22"/>
          <w:szCs w:val="22"/>
        </w:rPr>
        <w:t xml:space="preserve"> социальная политика – 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E67DB">
        <w:rPr>
          <w:rFonts w:ascii="Times New Roman" w:hAnsi="Times New Roman" w:cs="Times New Roman"/>
          <w:b/>
          <w:sz w:val="22"/>
          <w:szCs w:val="22"/>
        </w:rPr>
        <w:t>16,7</w:t>
      </w:r>
      <w:r>
        <w:rPr>
          <w:rFonts w:ascii="Times New Roman" w:hAnsi="Times New Roman" w:cs="Times New Roman"/>
          <w:b/>
          <w:sz w:val="22"/>
          <w:szCs w:val="22"/>
        </w:rPr>
        <w:t xml:space="preserve"> %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Численность муниципальных служащих – </w:t>
      </w:r>
      <w:r w:rsidR="002E67D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чел.,</w:t>
      </w:r>
      <w:r>
        <w:rPr>
          <w:rFonts w:ascii="Times New Roman" w:hAnsi="Times New Roman" w:cs="Times New Roman"/>
          <w:sz w:val="22"/>
          <w:szCs w:val="22"/>
        </w:rPr>
        <w:t xml:space="preserve"> затраты на их денежное содержание в</w:t>
      </w:r>
      <w:r w:rsidR="009F119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квартале составляют</w:t>
      </w:r>
      <w:r w:rsidR="00EF3C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111A1">
        <w:rPr>
          <w:rFonts w:ascii="Times New Roman" w:hAnsi="Times New Roman" w:cs="Times New Roman"/>
          <w:b/>
          <w:sz w:val="22"/>
          <w:szCs w:val="22"/>
        </w:rPr>
        <w:t>149 521,68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рублей, затраты на содержание работников учреждения культуры составляют </w:t>
      </w:r>
      <w:r w:rsidR="00943F11">
        <w:rPr>
          <w:rFonts w:ascii="Times New Roman" w:hAnsi="Times New Roman" w:cs="Times New Roman"/>
          <w:sz w:val="22"/>
          <w:szCs w:val="22"/>
        </w:rPr>
        <w:t xml:space="preserve">        </w:t>
      </w:r>
      <w:r w:rsidR="002E67DB">
        <w:rPr>
          <w:rFonts w:ascii="Times New Roman" w:hAnsi="Times New Roman" w:cs="Times New Roman"/>
          <w:b/>
          <w:sz w:val="22"/>
          <w:szCs w:val="22"/>
        </w:rPr>
        <w:t>204 699,33</w:t>
      </w:r>
      <w:r>
        <w:rPr>
          <w:rFonts w:ascii="Times New Roman" w:hAnsi="Times New Roman" w:cs="Times New Roman"/>
          <w:sz w:val="22"/>
          <w:szCs w:val="22"/>
        </w:rPr>
        <w:t xml:space="preserve">  рублей, 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Рассмотрев исполнение бюджета Бурлукского сельского поселения Котовского муниципального района Волгоградской области за </w:t>
      </w:r>
      <w:r w:rsidR="00E96311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>
        <w:rPr>
          <w:rFonts w:ascii="Times New Roman" w:hAnsi="Times New Roman" w:cs="Times New Roman"/>
          <w:sz w:val="22"/>
          <w:szCs w:val="22"/>
        </w:rPr>
        <w:t xml:space="preserve"> 2020 года</w:t>
      </w:r>
      <w:r>
        <w:rPr>
          <w:rFonts w:ascii="Times New Roman" w:hAnsi="Times New Roman" w:cs="Times New Roman"/>
          <w:b/>
          <w:sz w:val="22"/>
          <w:szCs w:val="22"/>
        </w:rPr>
        <w:t>,  Администрация Бурлукского сельского поселения  постановила: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Утвердить отчет об исполнении бюджета Бурлукского сельского поселения за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357C4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года с учетом безвозмездных поступлений из областного бюджета по доходам в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квартале в сумме </w:t>
      </w:r>
      <w:r w:rsidR="00357C48">
        <w:rPr>
          <w:rFonts w:ascii="Times New Roman" w:hAnsi="Times New Roman" w:cs="Times New Roman"/>
          <w:b/>
          <w:sz w:val="22"/>
          <w:szCs w:val="22"/>
          <w:lang w:eastAsia="ru-RU"/>
        </w:rPr>
        <w:t>216 887,07</w:t>
      </w:r>
      <w:r>
        <w:rPr>
          <w:rFonts w:ascii="Times New Roman" w:hAnsi="Times New Roman" w:cs="Times New Roman"/>
          <w:sz w:val="22"/>
          <w:szCs w:val="22"/>
        </w:rPr>
        <w:t xml:space="preserve"> рублей согласно приложению 1.</w:t>
      </w:r>
    </w:p>
    <w:p w:rsidR="00E716D5" w:rsidRDefault="00947BF5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Постановление 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Бурлукского сельского поселения.</w:t>
      </w: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6"/>
          <w:szCs w:val="26"/>
        </w:rPr>
      </w:pPr>
    </w:p>
    <w:p w:rsidR="00E716D5" w:rsidRDefault="00E716D5">
      <w:pPr>
        <w:tabs>
          <w:tab w:val="left" w:pos="6570"/>
        </w:tabs>
        <w:rPr>
          <w:sz w:val="26"/>
          <w:szCs w:val="26"/>
        </w:rPr>
      </w:pPr>
    </w:p>
    <w:p w:rsidR="00E716D5" w:rsidRDefault="00E716D5">
      <w:pPr>
        <w:tabs>
          <w:tab w:val="left" w:pos="6570"/>
        </w:tabs>
        <w:rPr>
          <w:sz w:val="26"/>
          <w:szCs w:val="26"/>
        </w:rPr>
      </w:pPr>
    </w:p>
    <w:p w:rsidR="00E716D5" w:rsidRDefault="00E716D5">
      <w:pPr>
        <w:tabs>
          <w:tab w:val="left" w:pos="6570"/>
        </w:tabs>
        <w:rPr>
          <w:sz w:val="26"/>
          <w:szCs w:val="26"/>
        </w:rPr>
      </w:pPr>
    </w:p>
    <w:p w:rsidR="00E716D5" w:rsidRDefault="00E716D5">
      <w:pPr>
        <w:tabs>
          <w:tab w:val="left" w:pos="6570"/>
        </w:tabs>
        <w:rPr>
          <w:sz w:val="24"/>
          <w:szCs w:val="24"/>
        </w:rPr>
      </w:pPr>
    </w:p>
    <w:p w:rsidR="00E716D5" w:rsidRDefault="00947BF5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>Глава Бурлукского</w:t>
      </w:r>
    </w:p>
    <w:p w:rsidR="00E716D5" w:rsidRDefault="00947BF5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Д.А. Горьковенко     </w:t>
      </w:r>
    </w:p>
    <w:p w:rsidR="00E716D5" w:rsidRDefault="00E716D5">
      <w:pPr>
        <w:tabs>
          <w:tab w:val="left" w:pos="6570"/>
        </w:tabs>
        <w:rPr>
          <w:sz w:val="24"/>
          <w:szCs w:val="24"/>
        </w:rPr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947BF5">
      <w:pPr>
        <w:jc w:val="right"/>
      </w:pPr>
      <w:r>
        <w:t>Приложение № 1</w:t>
      </w:r>
    </w:p>
    <w:p w:rsidR="00E716D5" w:rsidRDefault="00947B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ИСПОЛНЕНИЕ ДОХОДОВ БЮДЖЕТА  БУРЛУКСКОГО СЕЛЬСКОГО ПОСЕЛЕНИЯ ЗА 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квартал  202</w:t>
      </w:r>
      <w:r w:rsidR="00357C4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 </w:t>
      </w:r>
    </w:p>
    <w:p w:rsidR="00E716D5" w:rsidRDefault="00E716D5">
      <w:pPr>
        <w:rPr>
          <w:sz w:val="18"/>
          <w:szCs w:val="18"/>
        </w:rPr>
      </w:pPr>
    </w:p>
    <w:tbl>
      <w:tblPr>
        <w:tblW w:w="1107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2440"/>
        <w:gridCol w:w="2238"/>
        <w:gridCol w:w="1560"/>
        <w:gridCol w:w="2125"/>
      </w:tblGrid>
      <w:tr w:rsidR="00E716D5">
        <w:trPr>
          <w:trHeight w:val="156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  <w:p w:rsidR="00E716D5" w:rsidRDefault="00947B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  <w:p w:rsidR="00E716D5" w:rsidRDefault="00947BF5">
            <w:pPr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 дохода по КД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План на 2020 г (</w:t>
            </w:r>
            <w:proofErr w:type="spellStart"/>
            <w:r>
              <w:rPr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на 2020 г (</w:t>
            </w:r>
            <w:proofErr w:type="spellStart"/>
            <w:r>
              <w:rPr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% исполнение </w:t>
            </w:r>
          </w:p>
        </w:tc>
      </w:tr>
      <w:tr w:rsidR="00E716D5">
        <w:trPr>
          <w:trHeight w:val="82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000 1 03 00000 01 0000 110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357C4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518276,00</w:t>
            </w:r>
          </w:p>
        </w:tc>
        <w:tc>
          <w:tcPr>
            <w:tcW w:w="1560" w:type="dxa"/>
            <w:shd w:val="clear" w:color="auto" w:fill="auto"/>
          </w:tcPr>
          <w:p w:rsidR="00E716D5" w:rsidRDefault="00357C4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116208,19</w:t>
            </w:r>
          </w:p>
        </w:tc>
        <w:tc>
          <w:tcPr>
            <w:tcW w:w="2125" w:type="dxa"/>
            <w:shd w:val="clear" w:color="auto" w:fill="auto"/>
          </w:tcPr>
          <w:p w:rsidR="00E716D5" w:rsidRDefault="00357C48" w:rsidP="008B74F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22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112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4E5706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100  1 03 02231</w:t>
            </w:r>
            <w:r w:rsidR="00947BF5">
              <w:rPr>
                <w:sz w:val="18"/>
                <w:szCs w:val="18"/>
                <w:lang w:eastAsia="ru-RU"/>
              </w:rPr>
              <w:t xml:space="preserve">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357C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237974,00</w:t>
            </w:r>
          </w:p>
        </w:tc>
        <w:tc>
          <w:tcPr>
            <w:tcW w:w="1560" w:type="dxa"/>
            <w:shd w:val="clear" w:color="auto" w:fill="auto"/>
          </w:tcPr>
          <w:p w:rsidR="00E716D5" w:rsidRDefault="00357C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52152,16</w:t>
            </w:r>
          </w:p>
        </w:tc>
        <w:tc>
          <w:tcPr>
            <w:tcW w:w="2125" w:type="dxa"/>
            <w:shd w:val="clear" w:color="auto" w:fill="auto"/>
          </w:tcPr>
          <w:p w:rsidR="00E716D5" w:rsidRDefault="00357C48" w:rsidP="008B74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8B74F8">
              <w:rPr>
                <w:sz w:val="18"/>
                <w:szCs w:val="18"/>
                <w:lang w:eastAsia="ru-RU"/>
              </w:rPr>
              <w:t>2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51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  <w:lang w:eastAsia="ru-RU"/>
              </w:rPr>
              <w:t>инжекторных</w:t>
            </w:r>
            <w:proofErr w:type="spellEnd"/>
            <w:r>
              <w:rPr>
                <w:sz w:val="18"/>
                <w:szCs w:val="18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100 1 03 02240 01 0000 110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357C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1356,00</w:t>
            </w:r>
          </w:p>
        </w:tc>
        <w:tc>
          <w:tcPr>
            <w:tcW w:w="1560" w:type="dxa"/>
            <w:shd w:val="clear" w:color="auto" w:fill="auto"/>
          </w:tcPr>
          <w:p w:rsidR="00E716D5" w:rsidRDefault="00357C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365,78</w:t>
            </w:r>
          </w:p>
        </w:tc>
        <w:tc>
          <w:tcPr>
            <w:tcW w:w="2125" w:type="dxa"/>
            <w:shd w:val="clear" w:color="auto" w:fill="auto"/>
          </w:tcPr>
          <w:p w:rsidR="00E716D5" w:rsidRDefault="00357C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54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100 1 03 02250 01 0000 110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357C48" w:rsidP="00357C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313041,00</w:t>
            </w:r>
          </w:p>
        </w:tc>
        <w:tc>
          <w:tcPr>
            <w:tcW w:w="1560" w:type="dxa"/>
            <w:shd w:val="clear" w:color="auto" w:fill="auto"/>
          </w:tcPr>
          <w:p w:rsidR="00E716D5" w:rsidRDefault="00357C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73004,27</w:t>
            </w:r>
          </w:p>
        </w:tc>
        <w:tc>
          <w:tcPr>
            <w:tcW w:w="2125" w:type="dxa"/>
            <w:shd w:val="clear" w:color="auto" w:fill="auto"/>
          </w:tcPr>
          <w:p w:rsidR="00E716D5" w:rsidRDefault="008B74F8" w:rsidP="00DF63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23%</w:t>
            </w:r>
          </w:p>
        </w:tc>
      </w:tr>
      <w:tr w:rsidR="00E716D5">
        <w:trPr>
          <w:trHeight w:val="55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100 1 03 02260 01 0000 110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4B68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-34095,00</w:t>
            </w:r>
          </w:p>
        </w:tc>
        <w:tc>
          <w:tcPr>
            <w:tcW w:w="1560" w:type="dxa"/>
            <w:shd w:val="clear" w:color="auto" w:fill="auto"/>
          </w:tcPr>
          <w:p w:rsidR="00E716D5" w:rsidRDefault="004B68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-9314,02</w:t>
            </w:r>
          </w:p>
        </w:tc>
        <w:tc>
          <w:tcPr>
            <w:tcW w:w="2125" w:type="dxa"/>
            <w:shd w:val="clear" w:color="auto" w:fill="auto"/>
          </w:tcPr>
          <w:p w:rsidR="00E716D5" w:rsidRDefault="004B68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46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206805,00</w:t>
            </w:r>
          </w:p>
        </w:tc>
        <w:tc>
          <w:tcPr>
            <w:tcW w:w="1560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34339,78</w:t>
            </w:r>
          </w:p>
        </w:tc>
        <w:tc>
          <w:tcPr>
            <w:tcW w:w="2125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17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990"/>
        </w:trPr>
        <w:tc>
          <w:tcPr>
            <w:tcW w:w="2711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206805,00</w:t>
            </w:r>
          </w:p>
        </w:tc>
        <w:tc>
          <w:tcPr>
            <w:tcW w:w="1560" w:type="dxa"/>
            <w:shd w:val="clear" w:color="auto" w:fill="auto"/>
          </w:tcPr>
          <w:p w:rsidR="00E716D5" w:rsidRDefault="00FE38DE" w:rsidP="009F23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36856,80</w:t>
            </w:r>
          </w:p>
        </w:tc>
        <w:tc>
          <w:tcPr>
            <w:tcW w:w="2125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81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Налог на доходы физических лиц  с  доходов, полученных физическими лицами  в соответствии со статьей   228 Налогового кодекса Российской федерации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182 1 01 02030 01 0000 110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-2517,02</w:t>
            </w:r>
          </w:p>
        </w:tc>
        <w:tc>
          <w:tcPr>
            <w:tcW w:w="2125" w:type="dxa"/>
            <w:shd w:val="clear" w:color="auto" w:fill="auto"/>
          </w:tcPr>
          <w:p w:rsidR="00E716D5" w:rsidRDefault="009F23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51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Налоги на имущество  физических лиц     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182 1 06 01030 10  0000 110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23000,00</w:t>
            </w:r>
          </w:p>
        </w:tc>
        <w:tc>
          <w:tcPr>
            <w:tcW w:w="1560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143,03</w:t>
            </w:r>
          </w:p>
        </w:tc>
        <w:tc>
          <w:tcPr>
            <w:tcW w:w="2125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0,6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8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182 1 06 06000 00  0000 110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563000,00</w:t>
            </w:r>
          </w:p>
        </w:tc>
        <w:tc>
          <w:tcPr>
            <w:tcW w:w="1560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11371,34</w:t>
            </w:r>
          </w:p>
        </w:tc>
        <w:tc>
          <w:tcPr>
            <w:tcW w:w="2125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4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Земельный налог с организации   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182 1 06 06033 10  0000 110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947BF5">
              <w:rPr>
                <w:sz w:val="18"/>
                <w:szCs w:val="18"/>
                <w:lang w:eastAsia="ru-RU"/>
              </w:rPr>
              <w:t>0000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6287,00</w:t>
            </w:r>
          </w:p>
        </w:tc>
        <w:tc>
          <w:tcPr>
            <w:tcW w:w="2125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Земельный налог    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182 1 06 06043 10  0000 110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553000,00</w:t>
            </w:r>
          </w:p>
        </w:tc>
        <w:tc>
          <w:tcPr>
            <w:tcW w:w="1560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5084,34</w:t>
            </w:r>
          </w:p>
        </w:tc>
        <w:tc>
          <w:tcPr>
            <w:tcW w:w="2125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0,9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510196,50</w:t>
            </w:r>
          </w:p>
        </w:tc>
        <w:tc>
          <w:tcPr>
            <w:tcW w:w="2125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510196,50</w:t>
            </w:r>
          </w:p>
        </w:tc>
        <w:tc>
          <w:tcPr>
            <w:tcW w:w="2125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480"/>
        </w:trPr>
        <w:tc>
          <w:tcPr>
            <w:tcW w:w="2711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Доходы,  получаемые в виде арендной платы  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942 1 11 05025 10 0000 120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E716D5" w:rsidRDefault="008F789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490643,00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716D5" w:rsidRDefault="008F789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158817,05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E716D5" w:rsidRDefault="008F789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</w:t>
            </w:r>
            <w:r w:rsidR="00947BF5">
              <w:rPr>
                <w:b/>
                <w:bCs/>
                <w:lang w:eastAsia="ru-RU"/>
              </w:rPr>
              <w:t>%</w:t>
            </w:r>
          </w:p>
        </w:tc>
      </w:tr>
      <w:tr w:rsidR="00E716D5">
        <w:trPr>
          <w:trHeight w:val="207"/>
        </w:trPr>
        <w:tc>
          <w:tcPr>
            <w:tcW w:w="2711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E716D5">
        <w:trPr>
          <w:trHeight w:val="75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942 1 11 09045 10 0000 120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18034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8F789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3181,62</w:t>
            </w:r>
          </w:p>
        </w:tc>
        <w:tc>
          <w:tcPr>
            <w:tcW w:w="2125" w:type="dxa"/>
            <w:shd w:val="clear" w:color="auto" w:fill="auto"/>
          </w:tcPr>
          <w:p w:rsidR="00E716D5" w:rsidRDefault="008F789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96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942 1 13 02995 10 0000 130</w:t>
            </w:r>
          </w:p>
        </w:tc>
        <w:tc>
          <w:tcPr>
            <w:tcW w:w="2238" w:type="dxa"/>
            <w:shd w:val="clear" w:color="auto" w:fill="auto"/>
          </w:tcPr>
          <w:p w:rsidR="00E716D5" w:rsidRDefault="008F789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280000,00</w:t>
            </w:r>
          </w:p>
        </w:tc>
        <w:tc>
          <w:tcPr>
            <w:tcW w:w="1560" w:type="dxa"/>
            <w:shd w:val="clear" w:color="auto" w:fill="auto"/>
          </w:tcPr>
          <w:p w:rsidR="00E716D5" w:rsidRDefault="008F789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137631,94</w:t>
            </w:r>
          </w:p>
        </w:tc>
        <w:tc>
          <w:tcPr>
            <w:tcW w:w="2125" w:type="dxa"/>
            <w:shd w:val="clear" w:color="auto" w:fill="auto"/>
          </w:tcPr>
          <w:p w:rsidR="00E716D5" w:rsidRDefault="008F789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49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42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Итого собственных доходов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E716D5" w:rsidRDefault="008F789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2099758,00</w:t>
            </w:r>
          </w:p>
        </w:tc>
        <w:tc>
          <w:tcPr>
            <w:tcW w:w="1560" w:type="dxa"/>
            <w:shd w:val="clear" w:color="auto" w:fill="auto"/>
          </w:tcPr>
          <w:p w:rsidR="00E716D5" w:rsidRDefault="008F789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971889,45</w:t>
            </w:r>
          </w:p>
        </w:tc>
        <w:tc>
          <w:tcPr>
            <w:tcW w:w="2125" w:type="dxa"/>
            <w:shd w:val="clear" w:color="auto" w:fill="auto"/>
          </w:tcPr>
          <w:p w:rsidR="00E716D5" w:rsidRDefault="0078681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44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60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942 2 02 15001 10 0000 150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839000</w:t>
            </w:r>
            <w:r w:rsidR="005F51A8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8F789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209750,00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8F789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81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942 2 0249999 10 0000 150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 w:rsidP="005F51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  <w:r w:rsidR="005F51A8">
              <w:rPr>
                <w:sz w:val="18"/>
                <w:szCs w:val="18"/>
                <w:lang w:eastAsia="ru-RU"/>
              </w:rPr>
              <w:t>62626</w:t>
            </w:r>
            <w:r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5C17D8" w:rsidP="00E26D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5C17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1035"/>
        </w:trPr>
        <w:tc>
          <w:tcPr>
            <w:tcW w:w="2711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942 2 02 35118 10 0000 150</w:t>
            </w:r>
          </w:p>
        </w:tc>
        <w:tc>
          <w:tcPr>
            <w:tcW w:w="2238" w:type="dxa"/>
            <w:vMerge w:val="restart"/>
            <w:shd w:val="clear" w:color="auto" w:fill="auto"/>
            <w:vAlign w:val="bottom"/>
          </w:tcPr>
          <w:p w:rsidR="00E716D5" w:rsidRDefault="00947BF5" w:rsidP="005C17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5C17D8">
              <w:rPr>
                <w:sz w:val="18"/>
                <w:szCs w:val="18"/>
                <w:lang w:eastAsia="ru-RU"/>
              </w:rPr>
              <w:t>7300</w:t>
            </w:r>
            <w:r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E716D5" w:rsidRDefault="005C17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6652,07</w:t>
            </w:r>
          </w:p>
        </w:tc>
        <w:tc>
          <w:tcPr>
            <w:tcW w:w="2125" w:type="dxa"/>
            <w:vMerge w:val="restart"/>
            <w:shd w:val="clear" w:color="auto" w:fill="auto"/>
            <w:vAlign w:val="bottom"/>
          </w:tcPr>
          <w:p w:rsidR="00E716D5" w:rsidRDefault="005C17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07"/>
        </w:trPr>
        <w:tc>
          <w:tcPr>
            <w:tcW w:w="2711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716D5">
        <w:trPr>
          <w:trHeight w:val="78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942 2 02 30024 10 0000 150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5C17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774900,00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5C17D8" w:rsidP="00A851E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475,00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5C17D8" w:rsidP="00A851E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0,006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13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2440" w:type="dxa"/>
            <w:shd w:val="clear" w:color="auto" w:fill="auto"/>
          </w:tcPr>
          <w:p w:rsidR="00E716D5" w:rsidRPr="005C17D8" w:rsidRDefault="00947BF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C17D8">
              <w:rPr>
                <w:color w:val="000000"/>
                <w:sz w:val="18"/>
                <w:szCs w:val="18"/>
                <w:lang w:eastAsia="ru-RU"/>
              </w:rPr>
              <w:t>942 2 02 40014 10 0000 150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5C17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64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Субсидия бюджетам сельских поселений на поддержку  отрасли культуры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942 2 02 25519 10  0000 150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5C17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5C17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5C17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78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Субсидия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942 2 02 25555 10 000 150 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5C17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5C17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5C17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711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Всего доходов      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shd w:val="clear" w:color="auto" w:fill="auto"/>
            <w:vAlign w:val="bottom"/>
          </w:tcPr>
          <w:p w:rsidR="00E716D5" w:rsidRDefault="005C17D8" w:rsidP="00205488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5542584,00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E716D5" w:rsidRDefault="005C17D8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1188776,52</w:t>
            </w:r>
            <w:r w:rsidR="00205488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5" w:type="dxa"/>
            <w:vMerge w:val="restart"/>
            <w:shd w:val="clear" w:color="auto" w:fill="auto"/>
            <w:vAlign w:val="bottom"/>
          </w:tcPr>
          <w:p w:rsidR="00E716D5" w:rsidRDefault="005C17D8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21</w:t>
            </w:r>
            <w:bookmarkStart w:id="0" w:name="_GoBack"/>
            <w:bookmarkEnd w:id="0"/>
            <w:r w:rsidR="00947BF5">
              <w:rPr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40"/>
        </w:trPr>
        <w:tc>
          <w:tcPr>
            <w:tcW w:w="2711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947BF5">
      <w:pPr>
        <w:jc w:val="right"/>
      </w:pPr>
      <w:r>
        <w:t>Приложение № 2</w:t>
      </w:r>
    </w:p>
    <w:p w:rsidR="00E716D5" w:rsidRDefault="00947BF5">
      <w:pPr>
        <w:jc w:val="center"/>
        <w:rPr>
          <w:b/>
        </w:rPr>
      </w:pPr>
      <w:r>
        <w:rPr>
          <w:b/>
        </w:rPr>
        <w:t>Исполнение расходов бюджета по разделам и подразделам</w:t>
      </w:r>
    </w:p>
    <w:p w:rsidR="00E716D5" w:rsidRDefault="00947BF5">
      <w:pPr>
        <w:jc w:val="center"/>
        <w:rPr>
          <w:b/>
          <w:bCs/>
        </w:rPr>
      </w:pPr>
      <w:r>
        <w:rPr>
          <w:b/>
        </w:rPr>
        <w:t xml:space="preserve"> классификации расходов бюджета </w:t>
      </w:r>
      <w:r w:rsidR="00155B2D">
        <w:rPr>
          <w:b/>
          <w:bCs/>
        </w:rPr>
        <w:t xml:space="preserve"> за </w:t>
      </w:r>
      <w:r w:rsidR="00155B2D" w:rsidRPr="00155B2D">
        <w:rPr>
          <w:b/>
          <w:lang w:val="en-US"/>
        </w:rPr>
        <w:t>I</w:t>
      </w:r>
      <w:r w:rsidR="00E26D57">
        <w:rPr>
          <w:b/>
          <w:lang w:val="en-US"/>
        </w:rPr>
        <w:t>I</w:t>
      </w:r>
      <w:r w:rsidR="00155B2D" w:rsidRPr="00155B2D">
        <w:rPr>
          <w:b/>
          <w:bCs/>
          <w:sz w:val="22"/>
          <w:szCs w:val="22"/>
          <w:lang w:val="en-US"/>
        </w:rPr>
        <w:t>I</w:t>
      </w:r>
      <w:r>
        <w:rPr>
          <w:b/>
          <w:bCs/>
        </w:rPr>
        <w:t xml:space="preserve"> квартал 2020 г</w:t>
      </w: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tbl>
      <w:tblPr>
        <w:tblW w:w="101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100"/>
        <w:gridCol w:w="1560"/>
        <w:gridCol w:w="1720"/>
        <w:gridCol w:w="1340"/>
      </w:tblGrid>
      <w:tr w:rsidR="00E716D5">
        <w:trPr>
          <w:trHeight w:val="1050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10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 расхода по ФКР, КЦСР</w:t>
            </w:r>
          </w:p>
          <w:p w:rsidR="00E716D5" w:rsidRDefault="00947B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  <w:p w:rsidR="00E716D5" w:rsidRDefault="00947BF5">
            <w:pPr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Утверждено по  </w:t>
            </w:r>
          </w:p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бюджету </w:t>
            </w:r>
          </w:p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на 2020 год</w:t>
            </w:r>
          </w:p>
          <w:p w:rsidR="00E716D5" w:rsidRDefault="00947BF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 руб.)</w:t>
            </w:r>
          </w:p>
        </w:tc>
        <w:tc>
          <w:tcPr>
            <w:tcW w:w="172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Исполнено</w:t>
            </w:r>
          </w:p>
          <w:p w:rsidR="00E716D5" w:rsidRDefault="00EC57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За </w:t>
            </w:r>
            <w:r w:rsidRPr="00EC574A">
              <w:rPr>
                <w:b/>
                <w:sz w:val="16"/>
                <w:szCs w:val="16"/>
                <w:lang w:val="en-US"/>
              </w:rPr>
              <w:t>I</w:t>
            </w:r>
            <w:r w:rsidRPr="00EC574A">
              <w:rPr>
                <w:b/>
                <w:bCs/>
                <w:sz w:val="16"/>
                <w:szCs w:val="16"/>
                <w:lang w:val="en-US"/>
              </w:rPr>
              <w:t>I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947BF5">
              <w:rPr>
                <w:sz w:val="18"/>
                <w:szCs w:val="18"/>
                <w:lang w:eastAsia="ru-RU"/>
              </w:rPr>
              <w:t>квартал</w:t>
            </w:r>
          </w:p>
          <w:p w:rsidR="00E716D5" w:rsidRDefault="00947BF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2020  г   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34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%</w:t>
            </w:r>
          </w:p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исполнения</w:t>
            </w:r>
          </w:p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 1 квартал</w:t>
            </w:r>
          </w:p>
          <w:p w:rsidR="00E716D5" w:rsidRDefault="00947BF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2020 г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942 01 02  60 000 75540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669391</w:t>
            </w:r>
            <w:r w:rsidR="00155B2D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Pr="00E26D57" w:rsidRDefault="00E26D57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383926.32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413321" w:rsidP="0041332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57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942 01 02  60 000 00000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669391</w:t>
            </w:r>
            <w:r w:rsidR="00155B2D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Pr="00413321" w:rsidRDefault="00413321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383926.32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413321" w:rsidP="0041332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57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942 01 04  60 000 00020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E716D5" w:rsidRDefault="00EC57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338679,00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16D5" w:rsidRPr="008A39D4" w:rsidRDefault="00EC574A" w:rsidP="008A39D4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8A39D4">
              <w:rPr>
                <w:sz w:val="18"/>
                <w:szCs w:val="18"/>
                <w:lang w:val="en-US" w:eastAsia="ru-RU"/>
              </w:rPr>
              <w:t>99652</w:t>
            </w:r>
            <w:r w:rsidR="008A39D4">
              <w:rPr>
                <w:sz w:val="18"/>
                <w:szCs w:val="18"/>
                <w:lang w:eastAsia="ru-RU"/>
              </w:rPr>
              <w:t>,</w:t>
            </w:r>
            <w:r w:rsidR="008A39D4">
              <w:rPr>
                <w:sz w:val="18"/>
                <w:szCs w:val="18"/>
                <w:lang w:val="en-US" w:eastAsia="ru-RU"/>
              </w:rPr>
              <w:t>93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716D5" w:rsidRDefault="00EC574A" w:rsidP="008A39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8A39D4">
              <w:rPr>
                <w:sz w:val="18"/>
                <w:szCs w:val="18"/>
                <w:lang w:eastAsia="ru-RU"/>
              </w:rPr>
              <w:t>9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716D5">
        <w:trPr>
          <w:trHeight w:val="255"/>
        </w:trPr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942 01 04 60 000 70010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2000</w:t>
            </w:r>
            <w:r w:rsidR="00EF1FF5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942 01 04 60 000 75540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EC57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986</w:t>
            </w:r>
            <w:r w:rsidR="00D90D61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844,00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8A39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628305,01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8A39D4" w:rsidP="008A39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942 01 04 60 000 80080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6127</w:t>
            </w:r>
            <w:r w:rsidR="00EF1FF5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1242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E716D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942 01 04  60 000 00000</w:t>
            </w:r>
          </w:p>
          <w:p w:rsidR="00E716D5" w:rsidRDefault="00E716D5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 w:rsidP="00D90D6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="00D90D61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  <w:r w:rsidR="00D90D61">
              <w:rPr>
                <w:b/>
                <w:bCs/>
                <w:sz w:val="18"/>
                <w:szCs w:val="18"/>
                <w:lang w:eastAsia="ru-RU"/>
              </w:rPr>
              <w:t>33 650,00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592E9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827957,94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592E9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84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8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942 01 06 90 000 80240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27000</w:t>
            </w:r>
            <w:r w:rsidR="00EF1FF5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13500,00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942 01 06 90 000 80250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</w:t>
            </w:r>
            <w:r w:rsidR="007231A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906</w:t>
            </w:r>
            <w:r w:rsidR="007231AB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14 453,00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942 01 06 90 000 00000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55</w:t>
            </w:r>
            <w:r w:rsidR="007231AB">
              <w:rPr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sz w:val="18"/>
                <w:szCs w:val="18"/>
                <w:lang w:eastAsia="ru-RU"/>
              </w:rPr>
              <w:t>906</w:t>
            </w:r>
            <w:r w:rsidR="007231AB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27 953,00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50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942 01 11 6000080070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31000</w:t>
            </w:r>
            <w:r w:rsidR="00D44103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942 01 11 60 000 00000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31000</w:t>
            </w:r>
            <w:r w:rsidR="00D44103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942 01 13  60 000 80020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1200</w:t>
            </w:r>
            <w:r w:rsidR="00D44103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942 01 13 60 000 80110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1 273,00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818,01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942 01 13 60 000 0000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2473,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818,01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33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942 01 00  00 000 00000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 w:rsidP="004D163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</w:t>
            </w:r>
            <w:r w:rsidR="004D163F">
              <w:rPr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  <w:r w:rsidR="004D163F">
              <w:rPr>
                <w:b/>
                <w:bCs/>
                <w:sz w:val="18"/>
                <w:szCs w:val="18"/>
                <w:lang w:eastAsia="ru-RU"/>
              </w:rPr>
              <w:t>92 420,00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E3F8B" w:rsidP="001E3F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1252655,27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E3F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60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942 02 03  99 000 51180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50600</w:t>
            </w:r>
            <w:r w:rsidR="00D44103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E3F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27551,32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E3F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942 02 00 00  000 00000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50600</w:t>
            </w:r>
            <w:r w:rsidR="00D44103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E3F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27551,32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E3F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54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390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942 03 09 60 000 23020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AC7A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</w:t>
            </w:r>
            <w:r w:rsidR="00947BF5">
              <w:rPr>
                <w:sz w:val="18"/>
                <w:szCs w:val="18"/>
                <w:lang w:eastAsia="ru-RU"/>
              </w:rPr>
              <w:t>616</w:t>
            </w:r>
            <w:r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E3F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39407,58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8E062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  <w:r w:rsidR="00AC7A09">
              <w:rPr>
                <w:sz w:val="18"/>
                <w:szCs w:val="18"/>
                <w:lang w:eastAsia="ru-RU"/>
              </w:rPr>
              <w:t>8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Национальная безопасность и       </w:t>
            </w:r>
          </w:p>
        </w:tc>
        <w:tc>
          <w:tcPr>
            <w:tcW w:w="3100" w:type="dxa"/>
            <w:vMerge w:val="restart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942 03 00 00  000 00000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E716D5" w:rsidRDefault="00AC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44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616</w:t>
            </w:r>
            <w:r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16D5" w:rsidRPr="00AC7A09" w:rsidRDefault="001E3F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39407,58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716D5" w:rsidRDefault="008E062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</w:t>
            </w:r>
            <w:r w:rsidR="00AC7A09">
              <w:rPr>
                <w:b/>
                <w:bCs/>
                <w:sz w:val="18"/>
                <w:szCs w:val="18"/>
                <w:lang w:eastAsia="ru-RU"/>
              </w:rPr>
              <w:t>8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правоохранительная деятельность</w:t>
            </w:r>
          </w:p>
        </w:tc>
        <w:tc>
          <w:tcPr>
            <w:tcW w:w="310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942 04 09 06 000 24020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Pr="00947BF5" w:rsidRDefault="00947BF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47BF5">
              <w:rPr>
                <w:b/>
                <w:sz w:val="18"/>
                <w:szCs w:val="18"/>
                <w:lang w:eastAsia="ru-RU"/>
              </w:rPr>
              <w:t>1</w:t>
            </w:r>
            <w:r>
              <w:rPr>
                <w:b/>
                <w:sz w:val="18"/>
                <w:szCs w:val="18"/>
                <w:lang w:eastAsia="ru-RU"/>
              </w:rPr>
              <w:t> </w:t>
            </w:r>
            <w:r w:rsidRPr="00947BF5">
              <w:rPr>
                <w:b/>
                <w:sz w:val="18"/>
                <w:szCs w:val="18"/>
                <w:lang w:eastAsia="ru-RU"/>
              </w:rPr>
              <w:t>518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47BF5">
              <w:rPr>
                <w:b/>
                <w:sz w:val="18"/>
                <w:szCs w:val="18"/>
                <w:lang w:eastAsia="ru-RU"/>
              </w:rPr>
              <w:t>692,38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Pr="00947BF5" w:rsidRDefault="008E062E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208692,82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Pr="00947BF5" w:rsidRDefault="00947BF5" w:rsidP="008E062E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47BF5">
              <w:rPr>
                <w:b/>
                <w:sz w:val="18"/>
                <w:szCs w:val="18"/>
                <w:lang w:eastAsia="ru-RU"/>
              </w:rPr>
              <w:t>1</w:t>
            </w:r>
            <w:r w:rsidR="008E062E">
              <w:rPr>
                <w:b/>
                <w:sz w:val="18"/>
                <w:szCs w:val="18"/>
                <w:lang w:eastAsia="ru-RU"/>
              </w:rPr>
              <w:t>4</w:t>
            </w:r>
            <w:r w:rsidRPr="00947BF5">
              <w:rPr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942 04 12 99 000 24060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14 900,00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7450,00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942 04 00 00 000 00000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1 533 592,38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8E062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216142,82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 w:rsidP="008E062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="008E062E">
              <w:rPr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Переданные полномочия в сфере ЖКХ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942 05 03 99 000 80530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8E062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9000,0</w:t>
            </w:r>
            <w:r w:rsidR="00947B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8E062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947BF5"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05 03 180 F2S1380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3 000 000,00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8E062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764553,00</w:t>
            </w:r>
            <w:r w:rsidR="00947B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Pr="00947BF5" w:rsidRDefault="00947BF5" w:rsidP="008E062E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47BF5">
              <w:rPr>
                <w:b/>
                <w:sz w:val="18"/>
                <w:szCs w:val="18"/>
                <w:lang w:eastAsia="ru-RU"/>
              </w:rPr>
              <w:t> </w:t>
            </w:r>
            <w:r w:rsidR="008E062E">
              <w:rPr>
                <w:b/>
                <w:sz w:val="18"/>
                <w:szCs w:val="18"/>
                <w:lang w:eastAsia="ru-RU"/>
              </w:rPr>
              <w:t>25</w:t>
            </w:r>
            <w:r w:rsidRPr="00947BF5">
              <w:rPr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05 03 180 F2S1381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334 000,00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8E062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333333,33</w:t>
            </w:r>
            <w:r w:rsidR="00947B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Pr="00947BF5" w:rsidRDefault="008E062E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  <w:r w:rsidR="00947BF5" w:rsidRPr="00947BF5">
              <w:rPr>
                <w:b/>
                <w:sz w:val="18"/>
                <w:szCs w:val="18"/>
                <w:lang w:eastAsia="ru-RU"/>
              </w:rPr>
              <w:t>% </w:t>
            </w:r>
          </w:p>
        </w:tc>
      </w:tr>
      <w:tr w:rsidR="002164D6">
        <w:trPr>
          <w:trHeight w:val="255"/>
        </w:trPr>
        <w:tc>
          <w:tcPr>
            <w:tcW w:w="2440" w:type="dxa"/>
            <w:shd w:val="clear" w:color="auto" w:fill="auto"/>
          </w:tcPr>
          <w:p w:rsidR="002164D6" w:rsidRDefault="002164D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2164D6" w:rsidRPr="002164D6" w:rsidRDefault="002164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942 0503 03000 </w:t>
            </w:r>
            <w:r>
              <w:rPr>
                <w:sz w:val="18"/>
                <w:szCs w:val="18"/>
                <w:lang w:val="en-US" w:eastAsia="ru-RU"/>
              </w:rPr>
              <w:t>L5765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64D6" w:rsidRDefault="002164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2164D6" w:rsidRDefault="002164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164D6" w:rsidRDefault="002164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942 05 03 6000060140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93 000,00 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100%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Жилищно-коммунальное  хозяйство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942 05 00 00 000 00000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 w:rsidP="002164D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  <w:r w:rsidR="002164D6">
              <w:rPr>
                <w:b/>
                <w:bCs/>
                <w:sz w:val="18"/>
                <w:szCs w:val="18"/>
                <w:lang w:eastAsia="ru-RU"/>
              </w:rPr>
              <w:t> 445 000,00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8E062E" w:rsidP="008E062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1208886,33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35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08 01 19000L5190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71801,1</w:t>
            </w:r>
            <w:r w:rsidR="0018265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63820,46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89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942 08 01 59 000 00080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7902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1 655 </w:t>
            </w:r>
            <w:r w:rsidR="00947BF5">
              <w:rPr>
                <w:sz w:val="18"/>
                <w:szCs w:val="18"/>
                <w:lang w:eastAsia="ru-RU"/>
              </w:rPr>
              <w:t>499,33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90289" w:rsidP="0018265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</w:t>
            </w:r>
            <w:r w:rsidR="00182653">
              <w:rPr>
                <w:sz w:val="18"/>
                <w:szCs w:val="18"/>
                <w:lang w:eastAsia="ru-RU"/>
              </w:rPr>
              <w:t>198501,92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942 08 01 59 000 75540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106</w:t>
            </w:r>
            <w:r w:rsidR="00790289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391</w:t>
            </w:r>
            <w:r w:rsidR="00790289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18643,15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налогов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942 08 01 59 000 80080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5820</w:t>
            </w:r>
            <w:r w:rsidR="00790289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331B1B">
        <w:trPr>
          <w:trHeight w:val="255"/>
        </w:trPr>
        <w:tc>
          <w:tcPr>
            <w:tcW w:w="2440" w:type="dxa"/>
            <w:shd w:val="clear" w:color="auto" w:fill="auto"/>
          </w:tcPr>
          <w:p w:rsidR="00331B1B" w:rsidRDefault="00331B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331B1B" w:rsidRDefault="00331B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942 08 01 99000 80550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31B1B" w:rsidRDefault="00331B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331B1B" w:rsidRDefault="00331B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331B1B" w:rsidRDefault="00331B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Культура и  кинематография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 942 08 00 00 000 00000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 w:rsidP="00E756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="00E7562C">
              <w:rPr>
                <w:b/>
                <w:bCs/>
                <w:sz w:val="18"/>
                <w:szCs w:val="18"/>
                <w:lang w:eastAsia="ru-RU"/>
              </w:rPr>
              <w:t> 842 511</w:t>
            </w:r>
            <w:r>
              <w:rPr>
                <w:b/>
                <w:bCs/>
                <w:sz w:val="18"/>
                <w:szCs w:val="18"/>
                <w:lang w:eastAsia="ru-RU"/>
              </w:rPr>
              <w:t>,43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1283965,53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70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942 10 01 60 000 80050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32208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13419,70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942 10 01 60 000 00000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32208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13419,70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42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942 12 04 60 000 20060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35000</w:t>
            </w:r>
            <w:r w:rsidR="00E7562C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11265,12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942 12 04 00 000 00000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35000</w:t>
            </w:r>
            <w:r w:rsidR="00E7562C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11265,12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17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Итого   расходов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61441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9 075 947,81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4053653,67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45</w:t>
            </w:r>
            <w:r w:rsidR="00947BF5">
              <w:rPr>
                <w:b/>
                <w:bCs/>
                <w:lang w:eastAsia="ru-RU"/>
              </w:rPr>
              <w:t>%</w:t>
            </w:r>
          </w:p>
        </w:tc>
      </w:tr>
    </w:tbl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sectPr w:rsidR="00E716D5" w:rsidSect="00E716D5">
      <w:pgSz w:w="11906" w:h="16838"/>
      <w:pgMar w:top="0" w:right="113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04"/>
    <w:rsid w:val="00034146"/>
    <w:rsid w:val="00040955"/>
    <w:rsid w:val="00052BD0"/>
    <w:rsid w:val="00054786"/>
    <w:rsid w:val="00060102"/>
    <w:rsid w:val="0006468F"/>
    <w:rsid w:val="00067472"/>
    <w:rsid w:val="00074973"/>
    <w:rsid w:val="000853F5"/>
    <w:rsid w:val="000A79E5"/>
    <w:rsid w:val="000C5829"/>
    <w:rsid w:val="000C709B"/>
    <w:rsid w:val="000D1614"/>
    <w:rsid w:val="000E4D73"/>
    <w:rsid w:val="000F6670"/>
    <w:rsid w:val="00112EE9"/>
    <w:rsid w:val="00121BF2"/>
    <w:rsid w:val="00123F1A"/>
    <w:rsid w:val="00126176"/>
    <w:rsid w:val="001345B1"/>
    <w:rsid w:val="00135A90"/>
    <w:rsid w:val="0014342E"/>
    <w:rsid w:val="001510D2"/>
    <w:rsid w:val="00155B2D"/>
    <w:rsid w:val="00182653"/>
    <w:rsid w:val="001A137D"/>
    <w:rsid w:val="001C2037"/>
    <w:rsid w:val="001D6625"/>
    <w:rsid w:val="001E3F8B"/>
    <w:rsid w:val="001E4EEA"/>
    <w:rsid w:val="00205488"/>
    <w:rsid w:val="00212FC2"/>
    <w:rsid w:val="002164D6"/>
    <w:rsid w:val="00225B94"/>
    <w:rsid w:val="002434DE"/>
    <w:rsid w:val="00291025"/>
    <w:rsid w:val="002A7F2A"/>
    <w:rsid w:val="002B6A30"/>
    <w:rsid w:val="002E67DB"/>
    <w:rsid w:val="002F2307"/>
    <w:rsid w:val="002F4E82"/>
    <w:rsid w:val="002F7F7B"/>
    <w:rsid w:val="00330097"/>
    <w:rsid w:val="00331B1B"/>
    <w:rsid w:val="00334AA9"/>
    <w:rsid w:val="00347C1A"/>
    <w:rsid w:val="00354015"/>
    <w:rsid w:val="00357C48"/>
    <w:rsid w:val="00362C92"/>
    <w:rsid w:val="00380D16"/>
    <w:rsid w:val="003823CF"/>
    <w:rsid w:val="00385550"/>
    <w:rsid w:val="003A0C40"/>
    <w:rsid w:val="003E1F07"/>
    <w:rsid w:val="003E23B5"/>
    <w:rsid w:val="003E3609"/>
    <w:rsid w:val="0040331A"/>
    <w:rsid w:val="004111A1"/>
    <w:rsid w:val="00413321"/>
    <w:rsid w:val="004508BA"/>
    <w:rsid w:val="004572AC"/>
    <w:rsid w:val="00457915"/>
    <w:rsid w:val="00474CA1"/>
    <w:rsid w:val="004B198E"/>
    <w:rsid w:val="004B641E"/>
    <w:rsid w:val="004B689B"/>
    <w:rsid w:val="004D163F"/>
    <w:rsid w:val="004D3376"/>
    <w:rsid w:val="004E1972"/>
    <w:rsid w:val="004E5706"/>
    <w:rsid w:val="004F13D3"/>
    <w:rsid w:val="00500D72"/>
    <w:rsid w:val="0050451C"/>
    <w:rsid w:val="00516EEC"/>
    <w:rsid w:val="0052643D"/>
    <w:rsid w:val="00570723"/>
    <w:rsid w:val="005724EC"/>
    <w:rsid w:val="005859DD"/>
    <w:rsid w:val="00592E90"/>
    <w:rsid w:val="005A3984"/>
    <w:rsid w:val="005B627C"/>
    <w:rsid w:val="005C17D8"/>
    <w:rsid w:val="005C3F7A"/>
    <w:rsid w:val="005D2FAC"/>
    <w:rsid w:val="005E52E1"/>
    <w:rsid w:val="005F1F0B"/>
    <w:rsid w:val="005F51A8"/>
    <w:rsid w:val="00614415"/>
    <w:rsid w:val="006312A4"/>
    <w:rsid w:val="00633ED0"/>
    <w:rsid w:val="006519D0"/>
    <w:rsid w:val="00652E90"/>
    <w:rsid w:val="006604DE"/>
    <w:rsid w:val="006613F3"/>
    <w:rsid w:val="00662E52"/>
    <w:rsid w:val="006649D9"/>
    <w:rsid w:val="00683C60"/>
    <w:rsid w:val="00687B85"/>
    <w:rsid w:val="006B27D2"/>
    <w:rsid w:val="006C702F"/>
    <w:rsid w:val="006E705B"/>
    <w:rsid w:val="006F57C8"/>
    <w:rsid w:val="00705CF5"/>
    <w:rsid w:val="0071182B"/>
    <w:rsid w:val="007231AB"/>
    <w:rsid w:val="00730FB5"/>
    <w:rsid w:val="0073235E"/>
    <w:rsid w:val="00743C33"/>
    <w:rsid w:val="007445CF"/>
    <w:rsid w:val="00750E7C"/>
    <w:rsid w:val="00753D8B"/>
    <w:rsid w:val="0076111E"/>
    <w:rsid w:val="007859F3"/>
    <w:rsid w:val="00786814"/>
    <w:rsid w:val="00790289"/>
    <w:rsid w:val="007922CA"/>
    <w:rsid w:val="007A00C6"/>
    <w:rsid w:val="007A65D6"/>
    <w:rsid w:val="007B29D8"/>
    <w:rsid w:val="007E28B0"/>
    <w:rsid w:val="007F2359"/>
    <w:rsid w:val="007F4E2F"/>
    <w:rsid w:val="007F623B"/>
    <w:rsid w:val="0080420C"/>
    <w:rsid w:val="00814F26"/>
    <w:rsid w:val="00815E9F"/>
    <w:rsid w:val="0082664C"/>
    <w:rsid w:val="00827972"/>
    <w:rsid w:val="00830260"/>
    <w:rsid w:val="00835116"/>
    <w:rsid w:val="00867A26"/>
    <w:rsid w:val="0089350A"/>
    <w:rsid w:val="008960D1"/>
    <w:rsid w:val="008A39D4"/>
    <w:rsid w:val="008B74F8"/>
    <w:rsid w:val="008C05C4"/>
    <w:rsid w:val="008C1388"/>
    <w:rsid w:val="008D0889"/>
    <w:rsid w:val="008D554F"/>
    <w:rsid w:val="008D6518"/>
    <w:rsid w:val="008E062E"/>
    <w:rsid w:val="008F25D3"/>
    <w:rsid w:val="008F4CCD"/>
    <w:rsid w:val="008F7893"/>
    <w:rsid w:val="00924574"/>
    <w:rsid w:val="00937144"/>
    <w:rsid w:val="00943F11"/>
    <w:rsid w:val="00947BF5"/>
    <w:rsid w:val="00981BC7"/>
    <w:rsid w:val="0098248D"/>
    <w:rsid w:val="00986B72"/>
    <w:rsid w:val="00987930"/>
    <w:rsid w:val="009904F2"/>
    <w:rsid w:val="00995016"/>
    <w:rsid w:val="009B6EEC"/>
    <w:rsid w:val="009B7766"/>
    <w:rsid w:val="009C727A"/>
    <w:rsid w:val="009D2BB8"/>
    <w:rsid w:val="009E680A"/>
    <w:rsid w:val="009F1196"/>
    <w:rsid w:val="009F23C5"/>
    <w:rsid w:val="009F3203"/>
    <w:rsid w:val="00A515A8"/>
    <w:rsid w:val="00A5696F"/>
    <w:rsid w:val="00A73B25"/>
    <w:rsid w:val="00A83CC6"/>
    <w:rsid w:val="00A851ED"/>
    <w:rsid w:val="00AA743C"/>
    <w:rsid w:val="00AB6842"/>
    <w:rsid w:val="00AC05EE"/>
    <w:rsid w:val="00AC1841"/>
    <w:rsid w:val="00AC7A09"/>
    <w:rsid w:val="00AD1A2C"/>
    <w:rsid w:val="00AF64D6"/>
    <w:rsid w:val="00B00958"/>
    <w:rsid w:val="00B11E21"/>
    <w:rsid w:val="00B13138"/>
    <w:rsid w:val="00B15BD5"/>
    <w:rsid w:val="00B315D7"/>
    <w:rsid w:val="00B34C04"/>
    <w:rsid w:val="00B61707"/>
    <w:rsid w:val="00B773BB"/>
    <w:rsid w:val="00B97CF1"/>
    <w:rsid w:val="00BA7937"/>
    <w:rsid w:val="00BB01C3"/>
    <w:rsid w:val="00BB722F"/>
    <w:rsid w:val="00BC05CF"/>
    <w:rsid w:val="00BD1B13"/>
    <w:rsid w:val="00BE75D3"/>
    <w:rsid w:val="00BF07D1"/>
    <w:rsid w:val="00BF26BF"/>
    <w:rsid w:val="00BF655D"/>
    <w:rsid w:val="00BF7902"/>
    <w:rsid w:val="00C03C9E"/>
    <w:rsid w:val="00C27EC6"/>
    <w:rsid w:val="00C51A92"/>
    <w:rsid w:val="00C57FE7"/>
    <w:rsid w:val="00C6608D"/>
    <w:rsid w:val="00C71A93"/>
    <w:rsid w:val="00CD3751"/>
    <w:rsid w:val="00CD6414"/>
    <w:rsid w:val="00CD789A"/>
    <w:rsid w:val="00CE6900"/>
    <w:rsid w:val="00CF0287"/>
    <w:rsid w:val="00CF650E"/>
    <w:rsid w:val="00D17299"/>
    <w:rsid w:val="00D23791"/>
    <w:rsid w:val="00D3115B"/>
    <w:rsid w:val="00D33DF1"/>
    <w:rsid w:val="00D34E30"/>
    <w:rsid w:val="00D379D6"/>
    <w:rsid w:val="00D44103"/>
    <w:rsid w:val="00D51086"/>
    <w:rsid w:val="00D85BAB"/>
    <w:rsid w:val="00D87692"/>
    <w:rsid w:val="00D87D2C"/>
    <w:rsid w:val="00D90D61"/>
    <w:rsid w:val="00D947EF"/>
    <w:rsid w:val="00DA30A4"/>
    <w:rsid w:val="00DA3D69"/>
    <w:rsid w:val="00DA64DA"/>
    <w:rsid w:val="00DC711E"/>
    <w:rsid w:val="00DD02C1"/>
    <w:rsid w:val="00DE7334"/>
    <w:rsid w:val="00DF639C"/>
    <w:rsid w:val="00E02E84"/>
    <w:rsid w:val="00E03BAB"/>
    <w:rsid w:val="00E067A5"/>
    <w:rsid w:val="00E13686"/>
    <w:rsid w:val="00E26D57"/>
    <w:rsid w:val="00E32CC5"/>
    <w:rsid w:val="00E35BB1"/>
    <w:rsid w:val="00E375FC"/>
    <w:rsid w:val="00E478C0"/>
    <w:rsid w:val="00E56BF0"/>
    <w:rsid w:val="00E60673"/>
    <w:rsid w:val="00E716D5"/>
    <w:rsid w:val="00E72C53"/>
    <w:rsid w:val="00E75432"/>
    <w:rsid w:val="00E7562C"/>
    <w:rsid w:val="00E779E3"/>
    <w:rsid w:val="00E96311"/>
    <w:rsid w:val="00EA117E"/>
    <w:rsid w:val="00EB0BA1"/>
    <w:rsid w:val="00EB6E72"/>
    <w:rsid w:val="00EC02BA"/>
    <w:rsid w:val="00EC247F"/>
    <w:rsid w:val="00EC574A"/>
    <w:rsid w:val="00ED2403"/>
    <w:rsid w:val="00EF09AD"/>
    <w:rsid w:val="00EF1FF5"/>
    <w:rsid w:val="00EF3C7A"/>
    <w:rsid w:val="00EF56D4"/>
    <w:rsid w:val="00F179BB"/>
    <w:rsid w:val="00F30304"/>
    <w:rsid w:val="00F5422F"/>
    <w:rsid w:val="00F705CE"/>
    <w:rsid w:val="00F7161A"/>
    <w:rsid w:val="00F80819"/>
    <w:rsid w:val="00F878EA"/>
    <w:rsid w:val="00FB4504"/>
    <w:rsid w:val="00FC6481"/>
    <w:rsid w:val="00FD12E7"/>
    <w:rsid w:val="00FE38DE"/>
    <w:rsid w:val="00FF5F7D"/>
    <w:rsid w:val="0F710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D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E716D5"/>
    <w:pPr>
      <w:keepNext/>
      <w:tabs>
        <w:tab w:val="left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E716D5"/>
    <w:pPr>
      <w:suppressAutoHyphens w:val="0"/>
      <w:textAlignment w:val="top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6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71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E716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character" w:customStyle="1" w:styleId="a4">
    <w:name w:val="Обычный (веб) Знак"/>
    <w:link w:val="a3"/>
    <w:uiPriority w:val="99"/>
    <w:rsid w:val="00E71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E3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D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E716D5"/>
    <w:pPr>
      <w:keepNext/>
      <w:tabs>
        <w:tab w:val="left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E716D5"/>
    <w:pPr>
      <w:suppressAutoHyphens w:val="0"/>
      <w:textAlignment w:val="top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6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71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E716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character" w:customStyle="1" w:styleId="a4">
    <w:name w:val="Обычный (веб) Знак"/>
    <w:link w:val="a3"/>
    <w:uiPriority w:val="99"/>
    <w:rsid w:val="00E71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E3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9F8AA3-76B8-4159-8F99-D0BD027C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2020-10-20T12:42:00Z</cp:lastPrinted>
  <dcterms:created xsi:type="dcterms:W3CDTF">2021-04-28T09:25:00Z</dcterms:created>
  <dcterms:modified xsi:type="dcterms:W3CDTF">2021-04-28T09:25:00Z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