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C2F81">
        <w:rPr>
          <w:b/>
          <w:sz w:val="22"/>
          <w:szCs w:val="22"/>
        </w:rPr>
        <w:t>2</w:t>
      </w:r>
      <w:r w:rsidR="00F81AFF">
        <w:rPr>
          <w:b/>
          <w:sz w:val="22"/>
          <w:szCs w:val="22"/>
        </w:rPr>
        <w:t>6</w:t>
      </w:r>
      <w:r w:rsidR="001E0157">
        <w:rPr>
          <w:b/>
          <w:sz w:val="22"/>
          <w:szCs w:val="22"/>
        </w:rPr>
        <w:t>.1</w:t>
      </w:r>
      <w:r w:rsidR="00F81AF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F81AFF">
        <w:rPr>
          <w:b/>
          <w:sz w:val="22"/>
          <w:szCs w:val="22"/>
        </w:rPr>
        <w:t>25/24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годов.»</w:t>
      </w:r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годов.»</w:t>
      </w:r>
      <w:r w:rsidR="003E07B9" w:rsidRPr="003E07B9">
        <w:rPr>
          <w:sz w:val="22"/>
          <w:szCs w:val="22"/>
        </w:rPr>
        <w:t>, согласно ст.62 Бюджетного кодекса РФ, следующие изменения и дополнения:</w:t>
      </w:r>
    </w:p>
    <w:p w:rsidR="003E07B9" w:rsidRDefault="00CB4B67" w:rsidP="002E609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3E07B9">
        <w:rPr>
          <w:sz w:val="24"/>
          <w:szCs w:val="24"/>
        </w:rPr>
        <w:t xml:space="preserve">. Изложить в новой редакции Приложения  </w:t>
      </w:r>
      <w:r w:rsidR="00B307C1">
        <w:rPr>
          <w:sz w:val="24"/>
          <w:szCs w:val="24"/>
        </w:rPr>
        <w:t xml:space="preserve">№4, </w:t>
      </w:r>
      <w:r w:rsidR="003E07B9">
        <w:rPr>
          <w:sz w:val="24"/>
          <w:szCs w:val="24"/>
        </w:rPr>
        <w:t>№6,</w:t>
      </w:r>
      <w:r w:rsidR="00DB14A8">
        <w:rPr>
          <w:sz w:val="24"/>
          <w:szCs w:val="24"/>
        </w:rPr>
        <w:t xml:space="preserve"> №9</w:t>
      </w:r>
      <w:r w:rsidR="003E07B9">
        <w:rPr>
          <w:sz w:val="24"/>
          <w:szCs w:val="24"/>
        </w:rPr>
        <w:t xml:space="preserve"> утвержденные названным Решением.</w:t>
      </w:r>
    </w:p>
    <w:p w:rsidR="003E07B9" w:rsidRDefault="00B307C1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B67">
        <w:rPr>
          <w:sz w:val="24"/>
          <w:szCs w:val="24"/>
        </w:rPr>
        <w:t>2</w:t>
      </w:r>
      <w:r w:rsidR="003E07B9">
        <w:rPr>
          <w:sz w:val="24"/>
          <w:szCs w:val="24"/>
        </w:rPr>
        <w:t>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Default="007949B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Pr="00CF181F" w:rsidRDefault="002E609A" w:rsidP="00490EB8">
      <w:pPr>
        <w:ind w:firstLine="709"/>
        <w:jc w:val="both"/>
        <w:rPr>
          <w:sz w:val="22"/>
          <w:szCs w:val="22"/>
        </w:rPr>
      </w:pPr>
    </w:p>
    <w:p w:rsidR="007949BA" w:rsidRDefault="007949BA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Pr="00CF181F" w:rsidRDefault="00CB4B67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</w:p>
    <w:tbl>
      <w:tblPr>
        <w:tblW w:w="10883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149"/>
        <w:gridCol w:w="191"/>
        <w:gridCol w:w="1440"/>
        <w:gridCol w:w="23"/>
      </w:tblGrid>
      <w:tr w:rsidR="001E0157" w:rsidRPr="001E0157" w:rsidTr="0050681B">
        <w:trPr>
          <w:trHeight w:val="645"/>
        </w:trPr>
        <w:tc>
          <w:tcPr>
            <w:tcW w:w="92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50681B">
        <w:trPr>
          <w:trHeight w:val="705"/>
        </w:trPr>
        <w:tc>
          <w:tcPr>
            <w:tcW w:w="9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50681B">
        <w:trPr>
          <w:trHeight w:val="315"/>
        </w:trPr>
        <w:tc>
          <w:tcPr>
            <w:tcW w:w="9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2E609A" w:rsidRPr="002E609A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9830" w:type="dxa"/>
              <w:tblInd w:w="333" w:type="dxa"/>
              <w:tblLook w:val="04A0" w:firstRow="1" w:lastRow="0" w:firstColumn="1" w:lastColumn="0" w:noHBand="0" w:noVBand="1"/>
            </w:tblPr>
            <w:tblGrid>
              <w:gridCol w:w="1218"/>
              <w:gridCol w:w="18"/>
              <w:gridCol w:w="5842"/>
              <w:gridCol w:w="1880"/>
              <w:gridCol w:w="872"/>
            </w:tblGrid>
            <w:tr w:rsidR="006A3391" w:rsidRPr="006A3391" w:rsidTr="00F81AFF">
              <w:trPr>
                <w:trHeight w:val="675"/>
              </w:trPr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61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6A3391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6A3391" w:rsidRPr="006A3391" w:rsidTr="00F81AFF">
              <w:trPr>
                <w:trHeight w:val="765"/>
              </w:trPr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61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3391" w:rsidRPr="006A3391" w:rsidRDefault="006A3391" w:rsidP="006A3391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B4B67" w:rsidRPr="00CB4B67" w:rsidTr="00CB4B67">
              <w:trPr>
                <w:gridAfter w:val="1"/>
                <w:wAfter w:w="890" w:type="dxa"/>
                <w:trHeight w:val="42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B67" w:rsidRPr="00CB4B67" w:rsidRDefault="00CB4B67" w:rsidP="00CB4B67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B67" w:rsidRPr="00CB4B67" w:rsidRDefault="00CB4B67" w:rsidP="00CB4B67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B67" w:rsidRPr="00CB4B67" w:rsidRDefault="00CB4B67" w:rsidP="00CB4B6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B4B67">
                    <w:rPr>
                      <w:color w:val="000000"/>
                      <w:sz w:val="22"/>
                      <w:szCs w:val="22"/>
                      <w:lang w:eastAsia="ru-RU"/>
                    </w:rPr>
                    <w:t>(руб.)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4"/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15"/>
              </w:trPr>
              <w:tc>
                <w:tcPr>
                  <w:tcW w:w="1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2942899,66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1004982,69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1725309,47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31000,00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122810,50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58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356390,01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91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356390,01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589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282944,00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60000,00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3111407,50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3111407,50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0681B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8354960,88</w:t>
                  </w:r>
                </w:p>
              </w:tc>
            </w:tr>
            <w:tr w:rsidR="0050681B" w:rsidRPr="0050681B" w:rsidTr="0050681B">
              <w:trPr>
                <w:gridAfter w:val="1"/>
                <w:wAfter w:w="872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81B" w:rsidRPr="0050681B" w:rsidRDefault="0050681B" w:rsidP="0050681B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CB4B67" w:rsidRDefault="00CB4B67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50681B" w:rsidRDefault="0050681B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Pr="002E609A" w:rsidRDefault="002E609A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</w:p>
        </w:tc>
      </w:tr>
      <w:tr w:rsidR="002E609A" w:rsidRPr="002E609A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0681B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 Приложение № 6</w:t>
            </w:r>
            <w:r w:rsidRPr="0050681B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50681B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50681B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50681B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50681B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50681B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10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1095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50681B" w:rsidRPr="0050681B" w:rsidTr="0050681B">
        <w:trPr>
          <w:gridAfter w:val="1"/>
          <w:wAfter w:w="23" w:type="dxa"/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раздел 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50681B" w:rsidRPr="0050681B" w:rsidTr="0050681B">
        <w:trPr>
          <w:gridAfter w:val="1"/>
          <w:wAfter w:w="23" w:type="dxa"/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</w:tr>
      <w:tr w:rsidR="0050681B" w:rsidRPr="0050681B" w:rsidTr="0050681B">
        <w:trPr>
          <w:gridAfter w:val="1"/>
          <w:wAfter w:w="23" w:type="dxa"/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8 354 960,88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8 354 960,88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2 996 900,60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-54 000,94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2 942 899,66  </w:t>
            </w:r>
          </w:p>
        </w:tc>
      </w:tr>
      <w:tr w:rsidR="0050681B" w:rsidRPr="0050681B" w:rsidTr="0050681B">
        <w:trPr>
          <w:gridAfter w:val="1"/>
          <w:wAfter w:w="23" w:type="dxa"/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-72 064,41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1 004 982,69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-72 064,41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50681B" w:rsidRPr="0050681B" w:rsidTr="0050681B">
        <w:trPr>
          <w:gridAfter w:val="1"/>
          <w:wAfter w:w="23" w:type="dxa"/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-72 064,41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50681B" w:rsidRPr="0050681B" w:rsidTr="0050681B">
        <w:trPr>
          <w:gridAfter w:val="1"/>
          <w:wAfter w:w="23" w:type="dxa"/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-72 064,41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50681B" w:rsidRPr="0050681B" w:rsidTr="0050681B">
        <w:trPr>
          <w:gridAfter w:val="1"/>
          <w:wAfter w:w="23" w:type="dxa"/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1 674 595,00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50 714,47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1 725 309,47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16 683,47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1 405 783,47  </w:t>
            </w:r>
          </w:p>
        </w:tc>
      </w:tr>
      <w:tr w:rsidR="0050681B" w:rsidRPr="0050681B" w:rsidTr="0050681B">
        <w:trPr>
          <w:gridAfter w:val="1"/>
          <w:wAfter w:w="23" w:type="dxa"/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50681B" w:rsidRPr="0050681B" w:rsidTr="0050681B">
        <w:trPr>
          <w:gridAfter w:val="1"/>
          <w:wAfter w:w="23" w:type="dxa"/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</w:tr>
      <w:tr w:rsidR="0050681B" w:rsidRPr="0050681B" w:rsidTr="0050681B">
        <w:trPr>
          <w:gridAfter w:val="1"/>
          <w:wAfter w:w="23" w:type="dxa"/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16 683,47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1 405 783,47  </w:t>
            </w:r>
          </w:p>
        </w:tc>
      </w:tr>
      <w:tr w:rsidR="0050681B" w:rsidRPr="0050681B" w:rsidTr="0050681B">
        <w:trPr>
          <w:gridAfter w:val="1"/>
          <w:wAfter w:w="23" w:type="dxa"/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16 683,47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1 405 783,47  </w:t>
            </w:r>
          </w:p>
        </w:tc>
      </w:tr>
      <w:tr w:rsidR="0050681B" w:rsidRPr="0050681B" w:rsidTr="0050681B">
        <w:trPr>
          <w:gridAfter w:val="1"/>
          <w:wAfter w:w="23" w:type="dxa"/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242 168,00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34 031,00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276 199,00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242 168,00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242 168,00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34 031,00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34 031,00  </w:t>
            </w:r>
          </w:p>
        </w:tc>
      </w:tr>
      <w:tr w:rsidR="0050681B" w:rsidRPr="0050681B" w:rsidTr="0050681B">
        <w:trPr>
          <w:gridAfter w:val="1"/>
          <w:wAfter w:w="23" w:type="dxa"/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50681B" w:rsidRPr="0050681B" w:rsidTr="0050681B">
        <w:trPr>
          <w:gridAfter w:val="1"/>
          <w:wAfter w:w="23" w:type="dxa"/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50681B" w:rsidRPr="0050681B" w:rsidTr="0050681B">
        <w:trPr>
          <w:gridAfter w:val="1"/>
          <w:wAfter w:w="23" w:type="dxa"/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50681B" w:rsidRPr="0050681B" w:rsidTr="0050681B">
        <w:trPr>
          <w:gridAfter w:val="1"/>
          <w:wAfter w:w="23" w:type="dxa"/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50681B" w:rsidRPr="0050681B" w:rsidTr="0050681B">
        <w:trPr>
          <w:gridAfter w:val="1"/>
          <w:wAfter w:w="23" w:type="dxa"/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lastRenderedPageBreak/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50681B" w:rsidRPr="0050681B" w:rsidTr="0050681B">
        <w:trPr>
          <w:gridAfter w:val="1"/>
          <w:wAfter w:w="23" w:type="dxa"/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50681B" w:rsidRPr="0050681B" w:rsidTr="0050681B">
        <w:trPr>
          <w:gridAfter w:val="1"/>
          <w:wAfter w:w="23" w:type="dxa"/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50681B" w:rsidRPr="0050681B" w:rsidTr="0050681B">
        <w:trPr>
          <w:gridAfter w:val="1"/>
          <w:wAfter w:w="23" w:type="dxa"/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50681B" w:rsidRPr="0050681B" w:rsidTr="0050681B">
        <w:trPr>
          <w:gridAfter w:val="1"/>
          <w:wAfter w:w="23" w:type="dxa"/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155 461,50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-32 651,00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122 810,50  </w:t>
            </w:r>
          </w:p>
        </w:tc>
      </w:tr>
      <w:tr w:rsidR="0050681B" w:rsidRPr="0050681B" w:rsidTr="0050681B">
        <w:trPr>
          <w:gridAfter w:val="1"/>
          <w:wAfter w:w="23" w:type="dxa"/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21 815,00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21 200,00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8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8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615,00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615,00  </w:t>
            </w:r>
          </w:p>
        </w:tc>
      </w:tr>
      <w:tr w:rsidR="0050681B" w:rsidRPr="0050681B" w:rsidTr="0050681B">
        <w:trPr>
          <w:gridAfter w:val="1"/>
          <w:wAfter w:w="23" w:type="dxa"/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2 613,00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7 613,00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20 615,00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-615,00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20 000,00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93 612,50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-32 651,00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60 961,50  </w:t>
            </w:r>
          </w:p>
        </w:tc>
      </w:tr>
      <w:tr w:rsidR="0050681B" w:rsidRPr="0050681B" w:rsidTr="0050681B">
        <w:trPr>
          <w:gridAfter w:val="1"/>
          <w:wAfter w:w="23" w:type="dxa"/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30 034,00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-2 613,00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27 421,00  </w:t>
            </w:r>
          </w:p>
        </w:tc>
      </w:tr>
      <w:tr w:rsidR="0050681B" w:rsidRPr="0050681B" w:rsidTr="0050681B">
        <w:trPr>
          <w:gridAfter w:val="1"/>
          <w:wAfter w:w="23" w:type="dxa"/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50681B" w:rsidRPr="0050681B" w:rsidTr="0050681B">
        <w:trPr>
          <w:gridAfter w:val="1"/>
          <w:wAfter w:w="23" w:type="dxa"/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70 650,09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234,91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70 885,00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16 549,91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-234,91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16 315,00  </w:t>
            </w:r>
          </w:p>
        </w:tc>
      </w:tr>
      <w:tr w:rsidR="0050681B" w:rsidRPr="0050681B" w:rsidTr="0050681B">
        <w:trPr>
          <w:gridAfter w:val="1"/>
          <w:wAfter w:w="23" w:type="dxa"/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305 643,00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50 747,01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356 390,01  </w:t>
            </w:r>
          </w:p>
        </w:tc>
      </w:tr>
      <w:tr w:rsidR="0050681B" w:rsidRPr="0050681B" w:rsidTr="0050681B">
        <w:trPr>
          <w:gridAfter w:val="1"/>
          <w:wAfter w:w="23" w:type="dxa"/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305 643,00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50 747,01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356 390,01  </w:t>
            </w:r>
          </w:p>
        </w:tc>
      </w:tr>
      <w:tr w:rsidR="0050681B" w:rsidRPr="0050681B" w:rsidTr="0050681B">
        <w:trPr>
          <w:gridAfter w:val="1"/>
          <w:wAfter w:w="23" w:type="dxa"/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305 643,00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50 747,01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356 390,01  </w:t>
            </w:r>
          </w:p>
        </w:tc>
      </w:tr>
      <w:tr w:rsidR="0050681B" w:rsidRPr="0050681B" w:rsidTr="0050681B">
        <w:trPr>
          <w:gridAfter w:val="1"/>
          <w:wAfter w:w="23" w:type="dxa"/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50681B" w:rsidRPr="0050681B" w:rsidTr="0050681B">
        <w:trPr>
          <w:gridAfter w:val="1"/>
          <w:wAfter w:w="23" w:type="dxa"/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1 211 924,50  </w:t>
            </w:r>
          </w:p>
        </w:tc>
      </w:tr>
      <w:tr w:rsidR="0050681B" w:rsidRPr="0050681B" w:rsidTr="0050681B">
        <w:trPr>
          <w:gridAfter w:val="1"/>
          <w:wAfter w:w="23" w:type="dxa"/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1 211 924,50  </w:t>
            </w:r>
          </w:p>
        </w:tc>
      </w:tr>
      <w:tr w:rsidR="0050681B" w:rsidRPr="0050681B" w:rsidTr="0050681B">
        <w:trPr>
          <w:gridAfter w:val="1"/>
          <w:wAfter w:w="23" w:type="dxa"/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1 211 924,50  </w:t>
            </w:r>
          </w:p>
        </w:tc>
      </w:tr>
      <w:tr w:rsidR="0050681B" w:rsidRPr="0050681B" w:rsidTr="0050681B">
        <w:trPr>
          <w:gridAfter w:val="1"/>
          <w:wAfter w:w="23" w:type="dxa"/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306 060,60  </w:t>
            </w:r>
          </w:p>
        </w:tc>
      </w:tr>
      <w:tr w:rsidR="0050681B" w:rsidRPr="0050681B" w:rsidTr="0050681B">
        <w:trPr>
          <w:gridAfter w:val="1"/>
          <w:wAfter w:w="23" w:type="dxa"/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99 0 00S1930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28 025,61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28 025,61  </w:t>
            </w:r>
          </w:p>
        </w:tc>
      </w:tr>
      <w:tr w:rsidR="0050681B" w:rsidRPr="0050681B" w:rsidTr="0050681B">
        <w:trPr>
          <w:gridAfter w:val="1"/>
          <w:wAfter w:w="23" w:type="dxa"/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50681B" w:rsidRPr="0050681B" w:rsidTr="0050681B">
        <w:trPr>
          <w:gridAfter w:val="1"/>
          <w:wAfter w:w="23" w:type="dxa"/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50681B" w:rsidRPr="0050681B" w:rsidTr="0050681B">
        <w:trPr>
          <w:gridAfter w:val="1"/>
          <w:wAfter w:w="23" w:type="dxa"/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60000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60000</w:t>
            </w:r>
          </w:p>
        </w:tc>
      </w:tr>
      <w:tr w:rsidR="0050681B" w:rsidRPr="0050681B" w:rsidTr="0050681B">
        <w:trPr>
          <w:gridAfter w:val="1"/>
          <w:wAfter w:w="23" w:type="dxa"/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50681B" w:rsidRPr="0050681B" w:rsidTr="0050681B">
        <w:trPr>
          <w:gridAfter w:val="1"/>
          <w:wAfter w:w="23" w:type="dxa"/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50681B" w:rsidRPr="0050681B" w:rsidTr="0050681B">
        <w:trPr>
          <w:gridAfter w:val="1"/>
          <w:wAfter w:w="23" w:type="dxa"/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50681B" w:rsidRPr="0050681B" w:rsidTr="0050681B">
        <w:trPr>
          <w:gridAfter w:val="1"/>
          <w:wAfter w:w="23" w:type="dxa"/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50681B" w:rsidRPr="0050681B" w:rsidTr="0050681B">
        <w:trPr>
          <w:gridAfter w:val="1"/>
          <w:wAfter w:w="23" w:type="dxa"/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3 108 153,57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3 253,93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3 111 407,50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3 108 153,57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3 253,93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3 108 066,50  </w:t>
            </w:r>
          </w:p>
        </w:tc>
      </w:tr>
      <w:tr w:rsidR="0050681B" w:rsidRPr="0050681B" w:rsidTr="0050681B">
        <w:trPr>
          <w:gridAfter w:val="1"/>
          <w:wAfter w:w="23" w:type="dxa"/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793 633,59 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3 253,93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796 887,52  </w:t>
            </w:r>
          </w:p>
        </w:tc>
      </w:tr>
      <w:tr w:rsidR="0050681B" w:rsidRPr="0050681B" w:rsidTr="0050681B">
        <w:trPr>
          <w:gridAfter w:val="1"/>
          <w:wAfter w:w="23" w:type="dxa"/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573 455,64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573 455,64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220 177,95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3 253,93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223 431,88  </w:t>
            </w:r>
          </w:p>
        </w:tc>
      </w:tr>
      <w:tr w:rsidR="0050681B" w:rsidRPr="0050681B" w:rsidTr="0050681B">
        <w:trPr>
          <w:gridAfter w:val="1"/>
          <w:wAfter w:w="23" w:type="dxa"/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1 422 700,12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-3 341,00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1 419 359,12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</w:tr>
      <w:tr w:rsidR="0050681B" w:rsidRPr="0050681B" w:rsidTr="0050681B">
        <w:trPr>
          <w:gridAfter w:val="1"/>
          <w:wAfter w:w="23" w:type="dxa"/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135 351,00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-138,52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135 212,48  </w:t>
            </w:r>
          </w:p>
        </w:tc>
      </w:tr>
      <w:tr w:rsidR="0050681B" w:rsidRPr="0050681B" w:rsidTr="0050681B">
        <w:trPr>
          <w:gridAfter w:val="1"/>
          <w:wAfter w:w="23" w:type="dxa"/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0681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50681B" w:rsidRPr="0050681B" w:rsidTr="0050681B">
        <w:trPr>
          <w:gridAfter w:val="1"/>
          <w:wAfter w:w="23" w:type="dxa"/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0681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50681B" w:rsidRPr="0050681B" w:rsidTr="0050681B">
        <w:trPr>
          <w:gridAfter w:val="1"/>
          <w:wAfter w:w="23" w:type="dxa"/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59 0 0080090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3 341,00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0681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3 341,00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</w:tr>
      <w:tr w:rsidR="0050681B" w:rsidRPr="0050681B" w:rsidTr="0050681B">
        <w:trPr>
          <w:gridAfter w:val="1"/>
          <w:wAfter w:w="23" w:type="dxa"/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64 566,00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138,52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64 704,52  </w:t>
            </w:r>
          </w:p>
        </w:tc>
      </w:tr>
      <w:tr w:rsidR="0050681B" w:rsidRPr="0050681B" w:rsidTr="0050681B">
        <w:trPr>
          <w:gridAfter w:val="1"/>
          <w:wAfter w:w="23" w:type="dxa"/>
          <w:trHeight w:val="5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50681B" w:rsidRPr="0050681B" w:rsidTr="0050681B">
        <w:trPr>
          <w:gridAfter w:val="1"/>
          <w:wAfter w:w="23" w:type="dxa"/>
          <w:trHeight w:val="4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  <w:r w:rsidRPr="0050681B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50681B" w:rsidRPr="0050681B" w:rsidTr="0050681B">
        <w:trPr>
          <w:gridAfter w:val="1"/>
          <w:wAfter w:w="23" w:type="dxa"/>
          <w:trHeight w:val="2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50681B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lastRenderedPageBreak/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6 000,00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6 000,00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50681B" w:rsidRPr="0050681B" w:rsidTr="0050681B">
        <w:trPr>
          <w:gridAfter w:val="1"/>
          <w:wAfter w:w="23" w:type="dxa"/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22 109,00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50681B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50681B">
              <w:rPr>
                <w:lang w:eastAsia="ru-RU"/>
              </w:rPr>
              <w:t xml:space="preserve">22 109,00  </w:t>
            </w:r>
          </w:p>
        </w:tc>
      </w:tr>
      <w:tr w:rsidR="0050681B" w:rsidRPr="0050681B" w:rsidTr="0050681B">
        <w:trPr>
          <w:gridAfter w:val="1"/>
          <w:wAfter w:w="23" w:type="dxa"/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50681B" w:rsidRPr="0050681B" w:rsidTr="0050681B">
        <w:trPr>
          <w:gridAfter w:val="1"/>
          <w:wAfter w:w="23" w:type="dxa"/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50681B" w:rsidRPr="0050681B" w:rsidTr="0050681B">
        <w:trPr>
          <w:gridAfter w:val="1"/>
          <w:wAfter w:w="23" w:type="dxa"/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50681B" w:rsidRPr="0050681B" w:rsidTr="0050681B">
        <w:trPr>
          <w:gridAfter w:val="1"/>
          <w:wAfter w:w="23" w:type="dxa"/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8 354 960,88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81B" w:rsidRPr="0050681B" w:rsidRDefault="0050681B" w:rsidP="0050681B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50681B">
              <w:rPr>
                <w:color w:val="000000"/>
                <w:lang w:eastAsia="ru-RU"/>
              </w:rPr>
              <w:t xml:space="preserve">8 354 960,88  </w:t>
            </w:r>
          </w:p>
        </w:tc>
      </w:tr>
    </w:tbl>
    <w:p w:rsidR="00B7241B" w:rsidRDefault="00B7241B" w:rsidP="00490EB8"/>
    <w:p w:rsidR="00B7241B" w:rsidRDefault="00B7241B" w:rsidP="00490EB8"/>
    <w:p w:rsidR="00B7241B" w:rsidRDefault="00B7241B" w:rsidP="00490EB8"/>
    <w:p w:rsidR="00B7241B" w:rsidRDefault="0050681B" w:rsidP="0050681B">
      <w:pPr>
        <w:tabs>
          <w:tab w:val="left" w:pos="9000"/>
        </w:tabs>
      </w:pPr>
      <w:r>
        <w:tab/>
      </w: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9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к  решению Совета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«О бюджете Бурлукского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</w:t>
      </w:r>
    </w:p>
    <w:p w:rsidR="00DB14A8" w:rsidRDefault="00DB14A8" w:rsidP="00DB14A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 xml:space="preserve">на 2024 год  и на </w:t>
      </w:r>
      <w:r>
        <w:rPr>
          <w:bCs/>
          <w:sz w:val="16"/>
          <w:szCs w:val="16"/>
        </w:rPr>
        <w:t xml:space="preserve">плановый  </w:t>
      </w:r>
    </w:p>
    <w:p w:rsidR="00DB14A8" w:rsidRDefault="00DB14A8" w:rsidP="00DB14A8">
      <w:pPr>
        <w:ind w:left="8080"/>
      </w:pPr>
      <w:r>
        <w:rPr>
          <w:bCs/>
          <w:sz w:val="16"/>
          <w:szCs w:val="16"/>
        </w:rPr>
        <w:t>период   2025  и 2026 годов</w:t>
      </w:r>
      <w:r>
        <w:rPr>
          <w:sz w:val="16"/>
          <w:szCs w:val="16"/>
        </w:rPr>
        <w:t>»</w:t>
      </w: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муниципальных программ </w:t>
      </w:r>
    </w:p>
    <w:p w:rsidR="00DB14A8" w:rsidRDefault="00DB14A8" w:rsidP="00DB14A8">
      <w:pPr>
        <w:jc w:val="center"/>
      </w:pPr>
      <w:r>
        <w:t>на плановый период 2024-2026 годов</w:t>
      </w: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  <w:r>
        <w:t xml:space="preserve">                                                                 ( руб.)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3829"/>
        <w:gridCol w:w="567"/>
        <w:gridCol w:w="1418"/>
        <w:gridCol w:w="1277"/>
        <w:gridCol w:w="1277"/>
        <w:gridCol w:w="1418"/>
      </w:tblGrid>
      <w:tr w:rsidR="00DB14A8" w:rsidTr="001E0157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60 0 0000000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972DC2">
            <w:pPr>
              <w:jc w:val="both"/>
            </w:pPr>
            <w:r>
              <w:t>3</w:t>
            </w:r>
            <w:r w:rsidR="00383400">
              <w:t> 22</w:t>
            </w:r>
            <w:r w:rsidR="00972DC2">
              <w:t>7 032</w:t>
            </w:r>
            <w:r>
              <w:t>,</w:t>
            </w:r>
            <w:r w:rsidR="00972DC2">
              <w:t>6</w:t>
            </w: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2 856 200,83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2 745 395,98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972DC2" w:rsidP="001E0157">
            <w:r>
              <w:rPr>
                <w:bCs/>
              </w:rPr>
              <w:t xml:space="preserve"> 2 911 490,5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</w:tr>
      <w:tr w:rsidR="00DB14A8" w:rsidTr="001E015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972DC2" w:rsidP="00972DC2">
            <w:pPr>
              <w:jc w:val="both"/>
            </w:pPr>
            <w:r>
              <w:t>6 138 523</w:t>
            </w:r>
            <w:r w:rsidR="00DB14A8">
              <w:t>,</w:t>
            </w: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4 622 300,42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4 511 495,57</w:t>
            </w:r>
          </w:p>
        </w:tc>
      </w:tr>
    </w:tbl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муниципальной программы </w:t>
      </w:r>
    </w:p>
    <w:p w:rsidR="00DB14A8" w:rsidRDefault="00DB14A8" w:rsidP="00DB14A8">
      <w:pPr>
        <w:jc w:val="center"/>
      </w:pPr>
      <w:r>
        <w:t>на плановый период 2020-2025 годов</w:t>
      </w:r>
    </w:p>
    <w:p w:rsidR="00DB14A8" w:rsidRDefault="00DB14A8" w:rsidP="00DB14A8">
      <w:pPr>
        <w:jc w:val="center"/>
      </w:pPr>
      <w:r>
        <w:t>(руб.)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255"/>
        <w:gridCol w:w="567"/>
        <w:gridCol w:w="1559"/>
        <w:gridCol w:w="1276"/>
        <w:gridCol w:w="1276"/>
        <w:gridCol w:w="1134"/>
      </w:tblGrid>
      <w:tr w:rsidR="00DB14A8" w:rsidTr="001E0157">
        <w:trPr>
          <w:cantSplit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06 0 0000000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  <w:tr w:rsidR="00DB14A8" w:rsidTr="001E0157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</w:tbl>
    <w:p w:rsidR="00DB14A8" w:rsidRDefault="00DB14A8" w:rsidP="00DB14A8"/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 xml:space="preserve">Глава Бурлукского </w:t>
      </w:r>
    </w:p>
    <w:p w:rsidR="00DB14A8" w:rsidRDefault="00DB14A8" w:rsidP="00DB14A8">
      <w:pPr>
        <w:ind w:left="851"/>
        <w:jc w:val="both"/>
        <w:rPr>
          <w:b/>
          <w:sz w:val="24"/>
        </w:rPr>
      </w:pPr>
      <w:r>
        <w:rPr>
          <w:b/>
        </w:rPr>
        <w:t>сельского поселения</w:t>
      </w:r>
    </w:p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>Председатель Совета</w:t>
      </w:r>
    </w:p>
    <w:p w:rsidR="00140B6C" w:rsidRPr="002C2625" w:rsidRDefault="00DB14A8" w:rsidP="002C2625">
      <w:pPr>
        <w:ind w:left="851"/>
        <w:jc w:val="both"/>
        <w:rPr>
          <w:sz w:val="24"/>
          <w:szCs w:val="24"/>
        </w:rPr>
      </w:pPr>
      <w:r>
        <w:rPr>
          <w:b/>
        </w:rPr>
        <w:t>Бурлукского сельского поселения                                                                    О.И. Манжитова</w:t>
      </w:r>
    </w:p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sectPr w:rsidR="00140B6C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AB" w:rsidRDefault="005879AB" w:rsidP="006468FA">
      <w:r>
        <w:separator/>
      </w:r>
    </w:p>
  </w:endnote>
  <w:endnote w:type="continuationSeparator" w:id="0">
    <w:p w:rsidR="005879AB" w:rsidRDefault="005879AB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AB" w:rsidRDefault="005879AB" w:rsidP="006468FA">
      <w:r>
        <w:separator/>
      </w:r>
    </w:p>
  </w:footnote>
  <w:footnote w:type="continuationSeparator" w:id="0">
    <w:p w:rsidR="005879AB" w:rsidRDefault="005879AB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157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2625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31179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3400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1B82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080F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0681B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13AB"/>
    <w:rsid w:val="00582ECB"/>
    <w:rsid w:val="00583EAB"/>
    <w:rsid w:val="005879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339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57887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2F81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726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2572A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1CD"/>
    <w:rsid w:val="00970332"/>
    <w:rsid w:val="00972DC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D6E8A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7C1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241B"/>
    <w:rsid w:val="00B74545"/>
    <w:rsid w:val="00B80FBD"/>
    <w:rsid w:val="00B964F4"/>
    <w:rsid w:val="00BA1186"/>
    <w:rsid w:val="00BA5206"/>
    <w:rsid w:val="00BA68EA"/>
    <w:rsid w:val="00BB3BD9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4B67"/>
    <w:rsid w:val="00CB5B65"/>
    <w:rsid w:val="00CC2EA4"/>
    <w:rsid w:val="00CC44B0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B14A8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BBF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1AF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ADD4-8089-4F72-A54C-776737AA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2024-12-09T10:06:00Z</cp:lastPrinted>
  <dcterms:created xsi:type="dcterms:W3CDTF">2024-12-09T10:07:00Z</dcterms:created>
  <dcterms:modified xsi:type="dcterms:W3CDTF">2024-12-09T10:07:00Z</dcterms:modified>
</cp:coreProperties>
</file>